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  <w:bookmarkStart w:id="0" w:name="_GoBack"/>
      <w:bookmarkEnd w:id="0"/>
    </w:p>
    <w:p w:rsidR="0070743B" w:rsidRPr="0070743B" w:rsidRDefault="003D7D64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БУРЛИНСКИЙ </w:t>
      </w:r>
      <w:r w:rsidR="0070743B"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РАЙОННЫЙ СОВЕТ НАРОДНЫХ ДЕПУТАТОВ</w:t>
      </w:r>
    </w:p>
    <w:p w:rsidR="0070743B" w:rsidRPr="0070743B" w:rsidRDefault="0070743B" w:rsidP="0070743B">
      <w:pPr>
        <w:keepNext/>
        <w:widowControl w:val="0"/>
        <w:tabs>
          <w:tab w:val="left" w:pos="4962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АЛТАЙСКОГО КРАЯ</w:t>
      </w: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3D7D64" w:rsidP="0070743B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29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>20</w:t>
      </w:r>
      <w:r w:rsidR="000414DD">
        <w:rPr>
          <w:rFonts w:ascii="Times New Roman" w:eastAsia="Times New Roman" w:hAnsi="Times New Roman"/>
          <w:bCs/>
          <w:sz w:val="26"/>
          <w:szCs w:val="28"/>
          <w:lang w:eastAsia="ru-RU"/>
        </w:rPr>
        <w:t>2</w:t>
      </w:r>
      <w:r w:rsidR="0014120A">
        <w:rPr>
          <w:rFonts w:ascii="Times New Roman" w:eastAsia="Times New Roman" w:hAnsi="Times New Roman"/>
          <w:bCs/>
          <w:sz w:val="26"/>
          <w:szCs w:val="28"/>
          <w:lang w:eastAsia="ru-RU"/>
        </w:rPr>
        <w:t>4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.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                         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</w:t>
      </w:r>
      <w:r w:rsidR="00BA2513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</w:t>
      </w:r>
      <w:r w:rsidR="006E6515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№ </w:t>
      </w:r>
      <w:r w:rsidR="00BA2513">
        <w:rPr>
          <w:rFonts w:ascii="Times New Roman" w:eastAsia="Times New Roman" w:hAnsi="Times New Roman"/>
          <w:sz w:val="26"/>
          <w:szCs w:val="28"/>
          <w:lang w:eastAsia="ru-RU"/>
        </w:rPr>
        <w:t>24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3B">
        <w:rPr>
          <w:rFonts w:ascii="Times New Roman" w:eastAsia="Times New Roman" w:hAnsi="Times New Roman"/>
          <w:lang w:eastAsia="ru-RU"/>
        </w:rPr>
        <w:t>с. Бурла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реализации 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Стратегии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социально-экономического </w:t>
      </w:r>
      <w:r w:rsidR="003D7D64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922AE3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Бурлинский район </w:t>
      </w:r>
      <w:r w:rsidR="00922AE3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Алтайского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края на период до 20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 в </w:t>
      </w:r>
      <w:r w:rsidR="001412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2023 году</w:t>
      </w:r>
    </w:p>
    <w:p w:rsidR="0070743B" w:rsidRPr="0070743B" w:rsidRDefault="0070743B" w:rsidP="0070743B">
      <w:pPr>
        <w:spacing w:after="0" w:line="240" w:lineRule="auto"/>
        <w:ind w:right="32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0743B" w:rsidRPr="0070743B" w:rsidRDefault="0070743B" w:rsidP="0070743B">
      <w:pPr>
        <w:tabs>
          <w:tab w:val="left" w:pos="3040"/>
        </w:tabs>
        <w:spacing w:after="0" w:line="240" w:lineRule="auto"/>
        <w:ind w:firstLine="6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отчет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Бурлинский район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14120A">
        <w:rPr>
          <w:rFonts w:ascii="Times New Roman" w:eastAsia="Times New Roman" w:hAnsi="Times New Roman"/>
          <w:sz w:val="26"/>
          <w:szCs w:val="26"/>
          <w:lang w:eastAsia="ru-RU"/>
        </w:rPr>
        <w:t>2023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14120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, районный Совет народных депутатов</w:t>
      </w:r>
    </w:p>
    <w:p w:rsidR="0070743B" w:rsidRPr="0070743B" w:rsidRDefault="0070743B" w:rsidP="007074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 Е Ш И Л:</w:t>
      </w:r>
    </w:p>
    <w:p w:rsidR="0070743B" w:rsidRPr="0070743B" w:rsidRDefault="0070743B" w:rsidP="00922AE3">
      <w:pPr>
        <w:suppressAutoHyphens/>
        <w:spacing w:after="0" w:line="240" w:lineRule="auto"/>
        <w:ind w:firstLine="7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1. Отчет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smartTag w:uri="urn:schemas-microsoft-com:office:smarttags" w:element="PersonName">
        <w:r w:rsidRPr="0070743B">
          <w:rPr>
            <w:rFonts w:ascii="Times New Roman" w:eastAsia="Times New Roman" w:hAnsi="Times New Roman"/>
            <w:sz w:val="26"/>
            <w:szCs w:val="26"/>
            <w:lang w:eastAsia="ru-RU"/>
          </w:rPr>
          <w:t>Бурлинский район</w:t>
        </w:r>
      </w:smartTag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14120A">
        <w:rPr>
          <w:rFonts w:ascii="Times New Roman" w:eastAsia="Times New Roman" w:hAnsi="Times New Roman"/>
          <w:sz w:val="26"/>
          <w:szCs w:val="26"/>
          <w:lang w:eastAsia="ru-RU"/>
        </w:rPr>
        <w:t>2023 году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 (прилагается).</w:t>
      </w:r>
    </w:p>
    <w:p w:rsidR="00922AE3" w:rsidRPr="00922AE3" w:rsidRDefault="00922AE3" w:rsidP="00F106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922AE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2. </w:t>
      </w:r>
      <w:r w:rsidR="006315D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Отчет</w:t>
      </w:r>
      <w:r w:rsidRPr="00922AE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="00F1067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опубликовать </w:t>
      </w:r>
      <w:r w:rsidR="00F10676" w:rsidRPr="00F10676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на официальном сайте муниципального образования Бурлинский район Алтайского края</w:t>
      </w:r>
      <w:r w:rsidRPr="00922AE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:rsidR="00922AE3" w:rsidRPr="00922AE3" w:rsidRDefault="00922AE3" w:rsidP="00922A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0B6B" w:rsidRDefault="00330B6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Бурлинского рай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</w:p>
    <w:p w:rsidR="0070743B" w:rsidRPr="0070743B" w:rsidRDefault="000414D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народных депутатов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6315D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Е.А. Головенко</w:t>
      </w:r>
    </w:p>
    <w:p w:rsidR="0070743B" w:rsidRPr="0070743B" w:rsidRDefault="0070743B" w:rsidP="0070743B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0743B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0AF4" w:rsidRPr="008343E4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8B5C47" w:rsidRPr="008343E4">
        <w:rPr>
          <w:rFonts w:ascii="Times New Roman" w:hAnsi="Times New Roman"/>
          <w:b/>
          <w:sz w:val="28"/>
          <w:szCs w:val="28"/>
        </w:rPr>
        <w:lastRenderedPageBreak/>
        <w:t>О Т Ч Ё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Т</w:t>
      </w:r>
    </w:p>
    <w:p w:rsidR="00590AF4" w:rsidRPr="008343E4" w:rsidRDefault="00590AF4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о реализации </w:t>
      </w:r>
      <w:r w:rsidR="00A420E2" w:rsidRPr="008343E4">
        <w:rPr>
          <w:rFonts w:ascii="Times New Roman" w:hAnsi="Times New Roman"/>
          <w:b/>
          <w:sz w:val="28"/>
          <w:szCs w:val="28"/>
        </w:rPr>
        <w:t>Стратегии</w:t>
      </w:r>
      <w:r w:rsidRPr="008343E4">
        <w:rPr>
          <w:rFonts w:ascii="Times New Roman" w:hAnsi="Times New Roman"/>
          <w:b/>
          <w:sz w:val="28"/>
          <w:szCs w:val="28"/>
        </w:rPr>
        <w:t xml:space="preserve"> социально-экономического</w:t>
      </w:r>
    </w:p>
    <w:p w:rsidR="00227CE6" w:rsidRPr="008343E4" w:rsidRDefault="00590AF4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  <w:smartTag w:uri="urn:schemas-microsoft-com:office:smarttags" w:element="PersonName">
        <w:r w:rsidRPr="008343E4">
          <w:rPr>
            <w:rFonts w:ascii="Times New Roman" w:hAnsi="Times New Roman"/>
            <w:b/>
            <w:sz w:val="28"/>
            <w:szCs w:val="28"/>
          </w:rPr>
          <w:t>Бурлинский район</w:t>
        </w:r>
      </w:smartTag>
      <w:r w:rsidR="000E2607" w:rsidRPr="008343E4">
        <w:rPr>
          <w:rFonts w:ascii="Times New Roman" w:hAnsi="Times New Roman"/>
          <w:b/>
          <w:sz w:val="28"/>
          <w:szCs w:val="28"/>
        </w:rPr>
        <w:t xml:space="preserve"> </w:t>
      </w:r>
    </w:p>
    <w:p w:rsidR="00590AF4" w:rsidRPr="008343E4" w:rsidRDefault="000E2607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>Алтайского края на период до 20</w:t>
      </w:r>
      <w:r w:rsidR="00A420E2" w:rsidRPr="008343E4">
        <w:rPr>
          <w:rFonts w:ascii="Times New Roman" w:hAnsi="Times New Roman"/>
          <w:b/>
          <w:sz w:val="28"/>
          <w:szCs w:val="28"/>
        </w:rPr>
        <w:t>35</w:t>
      </w:r>
      <w:r w:rsidRPr="008343E4">
        <w:rPr>
          <w:rFonts w:ascii="Times New Roman" w:hAnsi="Times New Roman"/>
          <w:b/>
          <w:sz w:val="28"/>
          <w:szCs w:val="28"/>
        </w:rPr>
        <w:t xml:space="preserve"> года </w:t>
      </w:r>
      <w:r w:rsidR="00382787" w:rsidRPr="008343E4">
        <w:rPr>
          <w:rFonts w:ascii="Times New Roman" w:hAnsi="Times New Roman"/>
          <w:b/>
          <w:sz w:val="28"/>
          <w:szCs w:val="28"/>
        </w:rPr>
        <w:t>в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</w:t>
      </w:r>
      <w:r w:rsidR="0014120A">
        <w:rPr>
          <w:rFonts w:ascii="Times New Roman" w:hAnsi="Times New Roman"/>
          <w:b/>
          <w:sz w:val="28"/>
          <w:szCs w:val="28"/>
        </w:rPr>
        <w:t>2023 году</w:t>
      </w:r>
    </w:p>
    <w:p w:rsidR="00590AF4" w:rsidRPr="00D234BB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C5E5A" w:rsidRPr="009C09F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Основными принципами, заложенными в Стратегию социально-экономического развития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09F2">
        <w:rPr>
          <w:rFonts w:ascii="Times New Roman" w:hAnsi="Times New Roman"/>
          <w:sz w:val="26"/>
          <w:szCs w:val="26"/>
        </w:rPr>
        <w:t>района</w:t>
      </w:r>
      <w:r>
        <w:rPr>
          <w:rFonts w:ascii="Times New Roman" w:hAnsi="Times New Roman"/>
          <w:sz w:val="26"/>
          <w:szCs w:val="26"/>
        </w:rPr>
        <w:t xml:space="preserve"> (</w:t>
      </w:r>
      <w:r w:rsidRPr="00A420E2">
        <w:rPr>
          <w:rFonts w:ascii="Times New Roman" w:hAnsi="Times New Roman"/>
          <w:sz w:val="26"/>
          <w:szCs w:val="26"/>
        </w:rPr>
        <w:t xml:space="preserve">Стратегия социально-экономического развития Бурлинского района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9F6D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принята</w:t>
      </w:r>
      <w:r w:rsidRPr="00A420E2">
        <w:rPr>
          <w:rFonts w:ascii="Times New Roman" w:hAnsi="Times New Roman"/>
          <w:sz w:val="26"/>
          <w:szCs w:val="26"/>
        </w:rPr>
        <w:t xml:space="preserve"> решением районного Совета народных депутатов от 17.12.2019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20E2">
        <w:rPr>
          <w:rFonts w:ascii="Times New Roman" w:hAnsi="Times New Roman"/>
          <w:sz w:val="26"/>
          <w:szCs w:val="26"/>
        </w:rPr>
        <w:t>№ 40</w:t>
      </w:r>
      <w:r>
        <w:rPr>
          <w:rFonts w:ascii="Times New Roman" w:hAnsi="Times New Roman"/>
          <w:sz w:val="26"/>
          <w:szCs w:val="26"/>
        </w:rPr>
        <w:t>) являются:</w:t>
      </w:r>
    </w:p>
    <w:p w:rsidR="001C5E5A" w:rsidRPr="009C09F2" w:rsidRDefault="001C5E5A" w:rsidP="006315DD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1) усиление конкурентоспособности районной социально-экономической системы и всей системы управления за счет ее последовательной модернизации. Приоритеты стратегического развития Бурлинского района заключаются в преодолении технологической отсталости, широкомасштабном обновлении как производственной, так и социальной сферы;</w:t>
      </w:r>
    </w:p>
    <w:p w:rsidR="001C5E5A" w:rsidRPr="009C09F2" w:rsidRDefault="001C5E5A" w:rsidP="006315DD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2)  усиление социальной направленности </w:t>
      </w:r>
      <w:r w:rsidR="006315DD" w:rsidRPr="009C09F2">
        <w:rPr>
          <w:rFonts w:ascii="Times New Roman" w:hAnsi="Times New Roman"/>
          <w:sz w:val="26"/>
          <w:szCs w:val="26"/>
        </w:rPr>
        <w:t>всех управленческих решений,</w:t>
      </w:r>
      <w:r w:rsidRPr="009C09F2">
        <w:rPr>
          <w:rFonts w:ascii="Times New Roman" w:hAnsi="Times New Roman"/>
          <w:sz w:val="26"/>
          <w:szCs w:val="26"/>
        </w:rPr>
        <w:t xml:space="preserve"> и активная политика по формированию «среднего класса», повышению степени социальной защищенности граждан Бурлинского района. Социальная направленность Стратегии должна найти отражение в определении конкретных направлений деятельности органов исполнительной власти Бурлинского района, ориентированных на устранение ключевых проблем в жизнедеятельности населения и мобилизацию всех располагаемых ресурсов для эффективного решения задач социального развития;</w:t>
      </w:r>
    </w:p>
    <w:p w:rsidR="001C5E5A" w:rsidRPr="009C09F2" w:rsidRDefault="001C5E5A" w:rsidP="006315DD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3) более широкое использование принципа государственно-частного партнерства и социальной ответственности бизнеса. Корпоративная социальная ответственность должна опираться на инвестиции, имеющие социальную направленность, и на социально ответственное поведение, что является взаимовыгодным как для компании, так и для общества;</w:t>
      </w:r>
    </w:p>
    <w:p w:rsidR="001C5E5A" w:rsidRDefault="001C5E5A" w:rsidP="006315DD">
      <w:pPr>
        <w:suppressAutoHyphens/>
        <w:spacing w:after="0" w:line="240" w:lineRule="auto"/>
        <w:ind w:right="23" w:firstLine="720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4) обеспечение согласованности с документами долгосрочного развития Алтайского края, с системой мероприятий органов государственной власти Алтайского края.</w:t>
      </w:r>
    </w:p>
    <w:p w:rsidR="001C5E5A" w:rsidRPr="009C09F2" w:rsidRDefault="001C5E5A" w:rsidP="006315DD">
      <w:pPr>
        <w:tabs>
          <w:tab w:val="num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Бурлинский район имеет достаточно хорошие стартовые условия для устойчивого развития. </w:t>
      </w:r>
    </w:p>
    <w:p w:rsidR="001C5E5A" w:rsidRPr="009C09F2" w:rsidRDefault="001C5E5A" w:rsidP="006315DD">
      <w:pPr>
        <w:suppressAutoHyphens/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Стратегический анализ позволяет выделить ряд конкурентных преимуществ района, создающих условия для его социально-экономического развития: </w:t>
      </w:r>
    </w:p>
    <w:p w:rsidR="001C5E5A" w:rsidRPr="009C09F2" w:rsidRDefault="001C5E5A" w:rsidP="006315DD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Выгодное географическое расположение в Алтайском крае на пересечении важнейших коммуникаций (железнодорожных, автомобильных); </w:t>
      </w:r>
    </w:p>
    <w:p w:rsidR="001C5E5A" w:rsidRPr="009C09F2" w:rsidRDefault="001C5E5A" w:rsidP="006315DD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Высокий рекреационный потенциал;</w:t>
      </w:r>
    </w:p>
    <w:p w:rsidR="001C5E5A" w:rsidRPr="009C09F2" w:rsidRDefault="001C5E5A" w:rsidP="006315DD">
      <w:pPr>
        <w:numPr>
          <w:ilvl w:val="0"/>
          <w:numId w:val="11"/>
        </w:numPr>
        <w:tabs>
          <w:tab w:val="clear" w:pos="1503"/>
          <w:tab w:val="num" w:pos="360"/>
          <w:tab w:val="left" w:pos="1083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Возможности развития туризма;</w:t>
      </w:r>
    </w:p>
    <w:p w:rsidR="001C5E5A" w:rsidRPr="009C09F2" w:rsidRDefault="001C5E5A" w:rsidP="006315DD">
      <w:pPr>
        <w:numPr>
          <w:ilvl w:val="0"/>
          <w:numId w:val="11"/>
        </w:numPr>
        <w:tabs>
          <w:tab w:val="clear" w:pos="1503"/>
          <w:tab w:val="num" w:pos="360"/>
          <w:tab w:val="left" w:pos="1050"/>
        </w:tabs>
        <w:suppressAutoHyphens/>
        <w:spacing w:after="0" w:line="240" w:lineRule="auto"/>
        <w:ind w:left="0" w:firstLine="798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 Стабильная деятельность потребительского рынка.</w:t>
      </w:r>
    </w:p>
    <w:p w:rsidR="001C5E5A" w:rsidRPr="009C09F2" w:rsidRDefault="001C5E5A" w:rsidP="006315DD">
      <w:pPr>
        <w:pStyle w:val="10"/>
        <w:suppressAutoHyphens/>
        <w:spacing w:before="0"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В целом в Бурлинском районе содержится значительный потенциал для успешного развития. Район готов к формированию системы инвестиционной, экономической, социальной и гражданской политики в обеспечении высокого качества жизни населения, </w:t>
      </w:r>
      <w:bookmarkStart w:id="1" w:name="_Toc190229831"/>
      <w:bookmarkStart w:id="2" w:name="_Toc190229995"/>
      <w:bookmarkStart w:id="3" w:name="_Toc190230588"/>
      <w:bookmarkStart w:id="4" w:name="_Toc190230721"/>
      <w:bookmarkStart w:id="5" w:name="_Toc190234859"/>
      <w:bookmarkEnd w:id="1"/>
      <w:bookmarkEnd w:id="2"/>
      <w:bookmarkEnd w:id="3"/>
      <w:bookmarkEnd w:id="4"/>
      <w:bookmarkEnd w:id="5"/>
      <w:r w:rsidRPr="009C09F2">
        <w:rPr>
          <w:rFonts w:ascii="Times New Roman" w:hAnsi="Times New Roman"/>
          <w:sz w:val="26"/>
          <w:szCs w:val="26"/>
        </w:rPr>
        <w:t>отвечающей требованиям сегодняшнего времени.</w:t>
      </w:r>
    </w:p>
    <w:p w:rsidR="001C5E5A" w:rsidRPr="009C09F2" w:rsidRDefault="001C5E5A" w:rsidP="006315DD">
      <w:pPr>
        <w:pStyle w:val="af"/>
        <w:suppressAutoHyphens/>
        <w:spacing w:before="0" w:line="240" w:lineRule="auto"/>
        <w:ind w:firstLine="684"/>
        <w:rPr>
          <w:sz w:val="26"/>
          <w:szCs w:val="26"/>
        </w:rPr>
      </w:pPr>
      <w:r>
        <w:rPr>
          <w:b/>
          <w:color w:val="000000"/>
          <w:sz w:val="26"/>
          <w:szCs w:val="26"/>
          <w:lang w:val="ru-RU"/>
        </w:rPr>
        <w:t>Целью</w:t>
      </w:r>
      <w:r w:rsidRPr="009C09F2">
        <w:rPr>
          <w:b/>
          <w:color w:val="000000"/>
          <w:sz w:val="26"/>
          <w:szCs w:val="26"/>
        </w:rPr>
        <w:t xml:space="preserve"> Стратеги</w:t>
      </w:r>
      <w:r>
        <w:rPr>
          <w:b/>
          <w:color w:val="000000"/>
          <w:sz w:val="26"/>
          <w:szCs w:val="26"/>
        </w:rPr>
        <w:t>ческого социально-экономического развития муниципального образования Бурлинский район Алтайского края</w:t>
      </w:r>
      <w:r w:rsidRPr="009C09F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является - </w:t>
      </w:r>
      <w:r w:rsidRPr="009C09F2">
        <w:rPr>
          <w:color w:val="000000"/>
          <w:sz w:val="26"/>
          <w:szCs w:val="26"/>
        </w:rPr>
        <w:t>формирование благоприятной социальной среды, создающей условия для комфортного проживания,</w:t>
      </w:r>
      <w:r w:rsidRPr="009C09F2">
        <w:rPr>
          <w:sz w:val="26"/>
          <w:szCs w:val="26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Pr="009C09F2">
        <w:rPr>
          <w:color w:val="000000"/>
          <w:sz w:val="26"/>
          <w:szCs w:val="26"/>
        </w:rPr>
        <w:t xml:space="preserve"> населения.</w:t>
      </w:r>
    </w:p>
    <w:p w:rsidR="001C5E5A" w:rsidRPr="009C09F2" w:rsidRDefault="001C5E5A" w:rsidP="006315DD">
      <w:pPr>
        <w:tabs>
          <w:tab w:val="left" w:pos="1080"/>
        </w:tabs>
        <w:suppressAutoHyphens/>
        <w:spacing w:after="0" w:line="240" w:lineRule="auto"/>
        <w:ind w:firstLineChars="240" w:firstLine="624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9C09F2">
        <w:rPr>
          <w:rFonts w:ascii="Times New Roman" w:hAnsi="Times New Roman"/>
          <w:color w:val="000000"/>
          <w:sz w:val="26"/>
          <w:szCs w:val="26"/>
        </w:rPr>
        <w:t>Реализация цел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9C09F2">
        <w:rPr>
          <w:rFonts w:ascii="Times New Roman" w:hAnsi="Times New Roman"/>
          <w:color w:val="000000"/>
          <w:sz w:val="26"/>
          <w:szCs w:val="26"/>
        </w:rPr>
        <w:t xml:space="preserve"> предполагает</w:t>
      </w:r>
      <w:r w:rsidRPr="009C09F2">
        <w:rPr>
          <w:rFonts w:ascii="Times New Roman" w:hAnsi="Times New Roman"/>
          <w:color w:val="000000"/>
          <w:spacing w:val="-6"/>
          <w:sz w:val="26"/>
          <w:szCs w:val="26"/>
        </w:rPr>
        <w:t xml:space="preserve"> решение следующих задач:</w:t>
      </w:r>
    </w:p>
    <w:p w:rsidR="001C5E5A" w:rsidRPr="009C09F2" w:rsidRDefault="001C5E5A" w:rsidP="006315DD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развитие Бурлинского района как социально ориентированной территории;</w:t>
      </w:r>
    </w:p>
    <w:p w:rsidR="001C5E5A" w:rsidRPr="009C09F2" w:rsidRDefault="001C5E5A" w:rsidP="006315DD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устойчивое функционирование и развитие инфраструктуры и систем жизнеобеспечения муниципального образования, позволяющее сформировать здоровую, </w:t>
      </w:r>
      <w:r w:rsidRPr="009C09F2">
        <w:rPr>
          <w:rFonts w:ascii="Times New Roman" w:hAnsi="Times New Roman"/>
          <w:sz w:val="26"/>
          <w:szCs w:val="26"/>
        </w:rPr>
        <w:lastRenderedPageBreak/>
        <w:t xml:space="preserve">безопасную, благоустроенную и стимулирующую среду обитания; </w:t>
      </w:r>
    </w:p>
    <w:p w:rsidR="001C5E5A" w:rsidRPr="009C09F2" w:rsidRDefault="001C5E5A" w:rsidP="006315DD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9C09F2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Pr="009C09F2">
        <w:rPr>
          <w:rFonts w:ascii="Times New Roman" w:hAnsi="Times New Roman"/>
          <w:spacing w:val="-6"/>
          <w:sz w:val="26"/>
          <w:szCs w:val="26"/>
        </w:rPr>
        <w:t>создание организационно-экономических условий для развития промышленности;</w:t>
      </w:r>
    </w:p>
    <w:p w:rsidR="001C5E5A" w:rsidRPr="009C09F2" w:rsidRDefault="001C5E5A" w:rsidP="006315DD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>создание условий для развития малого и среднего предпринимательства, формирование необходимой инфраструктуры;</w:t>
      </w:r>
    </w:p>
    <w:p w:rsidR="001C5E5A" w:rsidRPr="009C09F2" w:rsidRDefault="001C5E5A" w:rsidP="006315DD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09F2">
        <w:rPr>
          <w:rFonts w:ascii="Times New Roman" w:hAnsi="Times New Roman"/>
          <w:sz w:val="26"/>
          <w:szCs w:val="26"/>
        </w:rPr>
        <w:t xml:space="preserve">обеспечение благоприятного инвестиционного климата, формирование механизмов привлечения инвестиций и стимулирования инвестиционной деятельности на территории Бурлинского района; </w:t>
      </w:r>
    </w:p>
    <w:p w:rsidR="001C5E5A" w:rsidRPr="009C09F2" w:rsidRDefault="001C5E5A" w:rsidP="006315DD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9C09F2">
        <w:rPr>
          <w:rFonts w:ascii="Times New Roman" w:hAnsi="Times New Roman"/>
          <w:bCs/>
          <w:sz w:val="26"/>
          <w:szCs w:val="26"/>
        </w:rPr>
        <w:t>обеспечение эффективного взаимодействия государства, бизнеса, образования и науки в процессе развития приоритетных секторов экономики, а также</w:t>
      </w:r>
      <w:r w:rsidRPr="009C09F2">
        <w:rPr>
          <w:rFonts w:ascii="Times New Roman" w:hAnsi="Times New Roman"/>
          <w:sz w:val="26"/>
          <w:szCs w:val="26"/>
        </w:rPr>
        <w:t xml:space="preserve"> развитие институтов гражданского общества и участия граждан в принятии решений и реализации программ социального, экономического, культурного и общественного развития района как значимого условия обеспечения качества жизни населения.</w:t>
      </w:r>
    </w:p>
    <w:p w:rsidR="001C5E5A" w:rsidRPr="009C09F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sub_801"/>
      <w:r w:rsidRPr="009C09F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соответствии с вышеназванными задачами можно </w:t>
      </w:r>
      <w:r w:rsidRPr="009C09F2">
        <w:rPr>
          <w:rFonts w:ascii="Times New Roman" w:hAnsi="Times New Roman"/>
          <w:sz w:val="26"/>
          <w:szCs w:val="26"/>
        </w:rPr>
        <w:t>структурно выдел</w:t>
      </w:r>
      <w:r>
        <w:rPr>
          <w:rFonts w:ascii="Times New Roman" w:hAnsi="Times New Roman"/>
          <w:sz w:val="26"/>
          <w:szCs w:val="26"/>
        </w:rPr>
        <w:t>ить</w:t>
      </w:r>
      <w:r w:rsidRPr="009C09F2">
        <w:rPr>
          <w:rFonts w:ascii="Times New Roman" w:hAnsi="Times New Roman"/>
          <w:sz w:val="26"/>
          <w:szCs w:val="26"/>
        </w:rPr>
        <w:t xml:space="preserve"> три блока целей, соответствующих целям долгосрочного социально-экономического развития Бурлинского района:</w:t>
      </w:r>
    </w:p>
    <w:bookmarkEnd w:id="6"/>
    <w:p w:rsidR="001C5E5A" w:rsidRPr="009C09F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достижение высокого уровня и качества жизни населения;</w:t>
      </w:r>
    </w:p>
    <w:p w:rsidR="001C5E5A" w:rsidRPr="009C09F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создание условий для устойчивого экономического роста;</w:t>
      </w:r>
    </w:p>
    <w:p w:rsidR="001C5E5A" w:rsidRPr="009C09F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развитая инфраструктура;</w:t>
      </w:r>
    </w:p>
    <w:p w:rsidR="001C5E5A" w:rsidRPr="009C09F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9F2">
        <w:rPr>
          <w:rFonts w:ascii="Times New Roman" w:hAnsi="Times New Roman"/>
          <w:b/>
          <w:sz w:val="26"/>
          <w:szCs w:val="26"/>
        </w:rPr>
        <w:t>- повышение эффективности управления.</w:t>
      </w:r>
    </w:p>
    <w:p w:rsidR="00590AF4" w:rsidRPr="00A420E2" w:rsidRDefault="00590AF4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Отчет о реализации </w:t>
      </w:r>
      <w:r w:rsidR="00A420E2" w:rsidRPr="00A420E2">
        <w:rPr>
          <w:rFonts w:ascii="Times New Roman" w:hAnsi="Times New Roman"/>
          <w:sz w:val="26"/>
          <w:szCs w:val="26"/>
        </w:rPr>
        <w:t xml:space="preserve">Стратегии </w:t>
      </w:r>
      <w:r w:rsidRPr="00A420E2">
        <w:rPr>
          <w:rFonts w:ascii="Times New Roman" w:hAnsi="Times New Roman"/>
          <w:sz w:val="26"/>
          <w:szCs w:val="26"/>
        </w:rPr>
        <w:t xml:space="preserve">в </w:t>
      </w:r>
      <w:r w:rsidR="0014120A">
        <w:rPr>
          <w:rFonts w:ascii="Times New Roman" w:hAnsi="Times New Roman"/>
          <w:sz w:val="26"/>
          <w:szCs w:val="26"/>
        </w:rPr>
        <w:t>2023</w:t>
      </w:r>
      <w:r w:rsidRPr="00A420E2">
        <w:rPr>
          <w:rFonts w:ascii="Times New Roman" w:hAnsi="Times New Roman"/>
          <w:sz w:val="26"/>
          <w:szCs w:val="26"/>
        </w:rPr>
        <w:t xml:space="preserve"> год</w:t>
      </w:r>
      <w:r w:rsidR="0014120A">
        <w:rPr>
          <w:rFonts w:ascii="Times New Roman" w:hAnsi="Times New Roman"/>
          <w:sz w:val="26"/>
          <w:szCs w:val="26"/>
        </w:rPr>
        <w:t>у</w:t>
      </w:r>
      <w:r w:rsidRPr="00A420E2">
        <w:rPr>
          <w:rFonts w:ascii="Times New Roman" w:hAnsi="Times New Roman"/>
          <w:sz w:val="26"/>
          <w:szCs w:val="26"/>
        </w:rPr>
        <w:t xml:space="preserve"> подготовлен в соответствии </w:t>
      </w:r>
      <w:r w:rsidR="00625C54" w:rsidRPr="00A420E2">
        <w:rPr>
          <w:rFonts w:ascii="Times New Roman" w:hAnsi="Times New Roman"/>
          <w:sz w:val="26"/>
          <w:szCs w:val="26"/>
        </w:rPr>
        <w:t xml:space="preserve">с разделом 7 </w:t>
      </w:r>
      <w:r w:rsidR="00A420E2" w:rsidRPr="00A420E2">
        <w:rPr>
          <w:rFonts w:ascii="Times New Roman" w:hAnsi="Times New Roman"/>
          <w:sz w:val="26"/>
          <w:szCs w:val="26"/>
        </w:rPr>
        <w:t>Стратегии</w:t>
      </w:r>
      <w:r w:rsidR="00625C54" w:rsidRPr="00A420E2">
        <w:rPr>
          <w:rFonts w:ascii="Times New Roman" w:hAnsi="Times New Roman"/>
          <w:sz w:val="26"/>
          <w:szCs w:val="26"/>
        </w:rPr>
        <w:t>.</w:t>
      </w:r>
    </w:p>
    <w:p w:rsidR="00227CE6" w:rsidRPr="008F2D12" w:rsidRDefault="00227CE6" w:rsidP="006315DD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5E5A" w:rsidRPr="008F2D12" w:rsidRDefault="001C5E5A" w:rsidP="006315DD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2D12">
        <w:rPr>
          <w:rFonts w:ascii="Times New Roman" w:hAnsi="Times New Roman"/>
          <w:b/>
          <w:sz w:val="26"/>
          <w:szCs w:val="26"/>
        </w:rPr>
        <w:t>Выполнение индикаторов согласно поставленным целям</w:t>
      </w:r>
    </w:p>
    <w:p w:rsidR="001C5E5A" w:rsidRPr="00842C9D" w:rsidRDefault="001C5E5A" w:rsidP="006315DD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Для определения степени достижения целей и задач </w:t>
      </w:r>
      <w:r>
        <w:rPr>
          <w:rFonts w:ascii="Times New Roman" w:hAnsi="Times New Roman"/>
          <w:sz w:val="26"/>
          <w:szCs w:val="26"/>
        </w:rPr>
        <w:t>Стратегии</w:t>
      </w:r>
      <w:r w:rsidRPr="00D234BB">
        <w:rPr>
          <w:rFonts w:ascii="Times New Roman" w:hAnsi="Times New Roman"/>
          <w:sz w:val="26"/>
          <w:szCs w:val="26"/>
        </w:rPr>
        <w:t xml:space="preserve"> в рамках мониторинга проведен анализ фактических значений </w:t>
      </w:r>
      <w:r w:rsidRPr="00912D90">
        <w:rPr>
          <w:rFonts w:ascii="Times New Roman" w:hAnsi="Times New Roman"/>
          <w:b/>
          <w:sz w:val="26"/>
          <w:szCs w:val="26"/>
        </w:rPr>
        <w:t>29 индикаторов</w:t>
      </w:r>
      <w:r w:rsidRPr="00912D90">
        <w:rPr>
          <w:rFonts w:ascii="Times New Roman" w:hAnsi="Times New Roman"/>
          <w:sz w:val="26"/>
          <w:szCs w:val="26"/>
        </w:rPr>
        <w:t>,</w:t>
      </w:r>
      <w:r w:rsidRPr="00D234BB">
        <w:rPr>
          <w:rFonts w:ascii="Times New Roman" w:hAnsi="Times New Roman"/>
          <w:sz w:val="26"/>
          <w:szCs w:val="26"/>
        </w:rPr>
        <w:t xml:space="preserve"> выполнение которых было запланировано до 20</w:t>
      </w:r>
      <w:r>
        <w:rPr>
          <w:rFonts w:ascii="Times New Roman" w:hAnsi="Times New Roman"/>
          <w:sz w:val="26"/>
          <w:szCs w:val="26"/>
        </w:rPr>
        <w:t>35</w:t>
      </w:r>
      <w:r w:rsidRPr="00D234BB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(таблица прилагается)</w:t>
      </w:r>
    </w:p>
    <w:p w:rsidR="009F6DC6" w:rsidRDefault="009F6DC6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</w:t>
      </w:r>
      <w:r w:rsidR="0014120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году по </w:t>
      </w:r>
      <w:r w:rsidR="002A674C">
        <w:rPr>
          <w:rFonts w:ascii="Times New Roman" w:hAnsi="Times New Roman"/>
          <w:b/>
          <w:sz w:val="26"/>
          <w:szCs w:val="26"/>
        </w:rPr>
        <w:t>5</w:t>
      </w:r>
      <w:r w:rsidRPr="009F6DC6">
        <w:rPr>
          <w:rFonts w:ascii="Times New Roman" w:hAnsi="Times New Roman"/>
          <w:b/>
          <w:sz w:val="26"/>
          <w:szCs w:val="26"/>
        </w:rPr>
        <w:t xml:space="preserve"> индикаторам</w:t>
      </w:r>
      <w:r>
        <w:rPr>
          <w:rFonts w:ascii="Times New Roman" w:hAnsi="Times New Roman"/>
          <w:sz w:val="26"/>
          <w:szCs w:val="26"/>
        </w:rPr>
        <w:t xml:space="preserve"> отмечается ухудшение.</w:t>
      </w:r>
    </w:p>
    <w:p w:rsidR="001C5E5A" w:rsidRPr="00C17D73" w:rsidRDefault="001C5E5A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7D73">
        <w:rPr>
          <w:rFonts w:ascii="Times New Roman" w:hAnsi="Times New Roman"/>
          <w:sz w:val="26"/>
          <w:szCs w:val="26"/>
        </w:rPr>
        <w:t xml:space="preserve">1. </w:t>
      </w:r>
      <w:r w:rsidR="00C17D73" w:rsidRPr="00C17D73">
        <w:rPr>
          <w:rFonts w:ascii="Times New Roman" w:eastAsia="Times New Roman" w:hAnsi="Times New Roman"/>
          <w:sz w:val="26"/>
          <w:szCs w:val="26"/>
          <w:lang w:eastAsia="ru-RU"/>
        </w:rPr>
        <w:t>Общий коэффициент смертности, число умерших на 1000 человек населения с 16,7 на 17,2.</w:t>
      </w:r>
    </w:p>
    <w:p w:rsidR="001C5E5A" w:rsidRPr="00C17D73" w:rsidRDefault="001C5E5A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17D73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C17D73" w:rsidRPr="00C17D73">
        <w:rPr>
          <w:rFonts w:ascii="Times New Roman" w:hAnsi="Times New Roman"/>
          <w:color w:val="000000"/>
          <w:sz w:val="26"/>
          <w:szCs w:val="26"/>
        </w:rPr>
        <w:t>Ввод в действие жилых домов с 255 кв. м на 73 кв. м.</w:t>
      </w:r>
    </w:p>
    <w:p w:rsidR="001A5BD3" w:rsidRDefault="001C5E5A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7D73">
        <w:rPr>
          <w:rFonts w:ascii="Times New Roman" w:hAnsi="Times New Roman"/>
          <w:sz w:val="26"/>
          <w:szCs w:val="26"/>
        </w:rPr>
        <w:t xml:space="preserve">3. Производство продукции: </w:t>
      </w:r>
    </w:p>
    <w:p w:rsidR="001A5BD3" w:rsidRDefault="001C5E5A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7D73">
        <w:rPr>
          <w:rFonts w:ascii="Times New Roman" w:hAnsi="Times New Roman"/>
          <w:sz w:val="26"/>
          <w:szCs w:val="26"/>
        </w:rPr>
        <w:t>тепловая энергия (202</w:t>
      </w:r>
      <w:r w:rsidR="00C17D73" w:rsidRPr="00C17D73">
        <w:rPr>
          <w:rFonts w:ascii="Times New Roman" w:hAnsi="Times New Roman"/>
          <w:sz w:val="26"/>
          <w:szCs w:val="26"/>
        </w:rPr>
        <w:t>3</w:t>
      </w:r>
      <w:r w:rsidRPr="00C17D73">
        <w:rPr>
          <w:rFonts w:ascii="Times New Roman" w:hAnsi="Times New Roman"/>
          <w:sz w:val="26"/>
          <w:szCs w:val="26"/>
        </w:rPr>
        <w:t xml:space="preserve"> г. – </w:t>
      </w:r>
      <w:r w:rsidR="00C17D73" w:rsidRPr="00C17D73">
        <w:rPr>
          <w:rFonts w:ascii="Times New Roman" w:hAnsi="Times New Roman"/>
          <w:sz w:val="26"/>
          <w:szCs w:val="26"/>
        </w:rPr>
        <w:t>24,5</w:t>
      </w:r>
      <w:r w:rsidR="006315DD">
        <w:rPr>
          <w:rFonts w:ascii="Times New Roman" w:hAnsi="Times New Roman"/>
          <w:sz w:val="26"/>
          <w:szCs w:val="26"/>
        </w:rPr>
        <w:t xml:space="preserve"> тыс. Гкал., </w:t>
      </w:r>
      <w:r w:rsidRPr="00C17D73">
        <w:rPr>
          <w:rFonts w:ascii="Times New Roman" w:hAnsi="Times New Roman"/>
          <w:sz w:val="26"/>
          <w:szCs w:val="26"/>
        </w:rPr>
        <w:t>202</w:t>
      </w:r>
      <w:r w:rsidR="00C17D73" w:rsidRPr="00C17D73">
        <w:rPr>
          <w:rFonts w:ascii="Times New Roman" w:hAnsi="Times New Roman"/>
          <w:sz w:val="26"/>
          <w:szCs w:val="26"/>
        </w:rPr>
        <w:t>2</w:t>
      </w:r>
      <w:r w:rsidRPr="00C17D73">
        <w:rPr>
          <w:rFonts w:ascii="Times New Roman" w:hAnsi="Times New Roman"/>
          <w:sz w:val="26"/>
          <w:szCs w:val="26"/>
        </w:rPr>
        <w:t xml:space="preserve"> г. – </w:t>
      </w:r>
      <w:r w:rsidR="00C17D73" w:rsidRPr="00C17D73">
        <w:rPr>
          <w:rFonts w:ascii="Times New Roman" w:hAnsi="Times New Roman"/>
          <w:sz w:val="26"/>
          <w:szCs w:val="26"/>
        </w:rPr>
        <w:t>26,8</w:t>
      </w:r>
      <w:r w:rsidRPr="00C17D73">
        <w:rPr>
          <w:rFonts w:ascii="Times New Roman" w:hAnsi="Times New Roman"/>
          <w:sz w:val="26"/>
          <w:szCs w:val="26"/>
        </w:rPr>
        <w:t xml:space="preserve"> тыс. Гкал</w:t>
      </w:r>
      <w:r w:rsidR="002A674C">
        <w:rPr>
          <w:rFonts w:ascii="Times New Roman" w:hAnsi="Times New Roman"/>
          <w:sz w:val="26"/>
          <w:szCs w:val="26"/>
        </w:rPr>
        <w:t>.</w:t>
      </w:r>
      <w:r w:rsidRPr="00C17D73">
        <w:rPr>
          <w:rFonts w:ascii="Times New Roman" w:hAnsi="Times New Roman"/>
          <w:sz w:val="26"/>
          <w:szCs w:val="26"/>
        </w:rPr>
        <w:t>)</w:t>
      </w:r>
      <w:r w:rsidR="00C17D73" w:rsidRPr="00C17D73">
        <w:rPr>
          <w:rFonts w:ascii="Times New Roman" w:hAnsi="Times New Roman"/>
          <w:sz w:val="26"/>
          <w:szCs w:val="26"/>
        </w:rPr>
        <w:t xml:space="preserve">, </w:t>
      </w:r>
    </w:p>
    <w:p w:rsidR="001C5E5A" w:rsidRPr="00C17D73" w:rsidRDefault="00C17D73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7D73">
        <w:rPr>
          <w:rFonts w:ascii="Times New Roman" w:hAnsi="Times New Roman"/>
          <w:sz w:val="26"/>
          <w:szCs w:val="26"/>
        </w:rPr>
        <w:t>кондитерские изделия (2023 г. – 30,9 тонн, 2022 г. – 31,3 тонна)</w:t>
      </w:r>
      <w:r w:rsidR="001C5E5A" w:rsidRPr="00C17D73">
        <w:rPr>
          <w:rFonts w:ascii="Times New Roman" w:hAnsi="Times New Roman"/>
          <w:sz w:val="26"/>
          <w:szCs w:val="26"/>
        </w:rPr>
        <w:t>.</w:t>
      </w:r>
    </w:p>
    <w:p w:rsidR="001C5E5A" w:rsidRPr="00C17D73" w:rsidRDefault="001C5E5A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17D73">
        <w:rPr>
          <w:rFonts w:ascii="Times New Roman" w:hAnsi="Times New Roman"/>
          <w:sz w:val="26"/>
          <w:szCs w:val="26"/>
        </w:rPr>
        <w:t xml:space="preserve">4. </w:t>
      </w:r>
      <w:r w:rsidRPr="00C17D73">
        <w:rPr>
          <w:rFonts w:ascii="Times New Roman" w:hAnsi="Times New Roman"/>
          <w:color w:val="000000"/>
          <w:sz w:val="26"/>
          <w:szCs w:val="26"/>
        </w:rPr>
        <w:t xml:space="preserve">Индекс физического объема продукции сельского хозяйства во всех категориях хозяйств, % к предыдущему году в сопоставимых ценах – </w:t>
      </w:r>
      <w:r w:rsidR="00C17D73" w:rsidRPr="00C17D73">
        <w:rPr>
          <w:rFonts w:ascii="Times New Roman" w:hAnsi="Times New Roman"/>
          <w:color w:val="000000"/>
          <w:sz w:val="26"/>
          <w:szCs w:val="26"/>
        </w:rPr>
        <w:t>87,1</w:t>
      </w:r>
      <w:r w:rsidRPr="00C17D73">
        <w:rPr>
          <w:rFonts w:ascii="Times New Roman" w:hAnsi="Times New Roman"/>
          <w:color w:val="000000"/>
          <w:sz w:val="26"/>
          <w:szCs w:val="26"/>
        </w:rPr>
        <w:t>%, 20</w:t>
      </w:r>
      <w:r w:rsidR="00C17D73" w:rsidRPr="00C17D73">
        <w:rPr>
          <w:rFonts w:ascii="Times New Roman" w:hAnsi="Times New Roman"/>
          <w:color w:val="000000"/>
          <w:sz w:val="26"/>
          <w:szCs w:val="26"/>
        </w:rPr>
        <w:t>22</w:t>
      </w:r>
      <w:r w:rsidRPr="00C17D73">
        <w:rPr>
          <w:rFonts w:ascii="Times New Roman" w:hAnsi="Times New Roman"/>
          <w:color w:val="000000"/>
          <w:sz w:val="26"/>
          <w:szCs w:val="26"/>
        </w:rPr>
        <w:t xml:space="preserve"> г. – </w:t>
      </w:r>
      <w:r w:rsidR="00C17D73" w:rsidRPr="00C17D73">
        <w:rPr>
          <w:rFonts w:ascii="Times New Roman" w:hAnsi="Times New Roman"/>
          <w:color w:val="000000"/>
          <w:sz w:val="26"/>
          <w:szCs w:val="26"/>
        </w:rPr>
        <w:t>90,9</w:t>
      </w:r>
      <w:r w:rsidRPr="00C17D73">
        <w:rPr>
          <w:rFonts w:ascii="Times New Roman" w:hAnsi="Times New Roman"/>
          <w:color w:val="000000"/>
          <w:sz w:val="26"/>
          <w:szCs w:val="26"/>
        </w:rPr>
        <w:t>%.</w:t>
      </w:r>
    </w:p>
    <w:p w:rsidR="00C17D73" w:rsidRPr="00C17D73" w:rsidRDefault="00C17D73" w:rsidP="006315DD">
      <w:pPr>
        <w:tabs>
          <w:tab w:val="left" w:pos="114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17D73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C17D73">
        <w:rPr>
          <w:rFonts w:ascii="Times New Roman" w:hAnsi="Times New Roman"/>
          <w:bCs/>
          <w:sz w:val="26"/>
          <w:szCs w:val="26"/>
        </w:rPr>
        <w:t>Удовлетворенность населения деятельностью органов местного самоуправления с 51% на 47%.</w:t>
      </w:r>
    </w:p>
    <w:p w:rsidR="001C5E5A" w:rsidRPr="008F2D12" w:rsidRDefault="001C5E5A" w:rsidP="006315DD">
      <w:pPr>
        <w:tabs>
          <w:tab w:val="left" w:pos="114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5E5A" w:rsidRPr="008F2D12" w:rsidRDefault="001C5E5A" w:rsidP="006315DD">
      <w:pPr>
        <w:tabs>
          <w:tab w:val="left" w:pos="114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D12">
        <w:rPr>
          <w:rFonts w:ascii="Times New Roman" w:hAnsi="Times New Roman"/>
          <w:b/>
          <w:sz w:val="26"/>
          <w:szCs w:val="26"/>
        </w:rPr>
        <w:t xml:space="preserve">Выполнение мероприятий в целях осуществления инвестиционной </w:t>
      </w:r>
    </w:p>
    <w:p w:rsidR="001C5E5A" w:rsidRPr="008F2D12" w:rsidRDefault="001C5E5A" w:rsidP="006315DD">
      <w:pPr>
        <w:tabs>
          <w:tab w:val="left" w:pos="114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D12">
        <w:rPr>
          <w:rFonts w:ascii="Times New Roman" w:hAnsi="Times New Roman"/>
          <w:b/>
          <w:sz w:val="26"/>
          <w:szCs w:val="26"/>
        </w:rPr>
        <w:t xml:space="preserve">деятельности на производственных площадках </w:t>
      </w:r>
    </w:p>
    <w:p w:rsidR="001C5E5A" w:rsidRPr="002B3F32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03E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производственных площадок</w:t>
      </w:r>
      <w:r>
        <w:rPr>
          <w:rFonts w:ascii="Times New Roman" w:hAnsi="Times New Roman"/>
          <w:sz w:val="26"/>
          <w:szCs w:val="26"/>
        </w:rPr>
        <w:t xml:space="preserve"> включе</w:t>
      </w:r>
      <w:r w:rsidRPr="003D03EE">
        <w:rPr>
          <w:rFonts w:ascii="Times New Roman" w:hAnsi="Times New Roman"/>
          <w:sz w:val="26"/>
          <w:szCs w:val="26"/>
        </w:rPr>
        <w:t xml:space="preserve">ны в </w:t>
      </w:r>
      <w:r>
        <w:rPr>
          <w:rFonts w:ascii="Times New Roman" w:hAnsi="Times New Roman"/>
          <w:sz w:val="26"/>
          <w:szCs w:val="26"/>
        </w:rPr>
        <w:t>Стратегию развития муниципального района Бурлинский район Алтайского края.</w:t>
      </w:r>
    </w:p>
    <w:p w:rsidR="001C5E5A" w:rsidRDefault="001C5E5A" w:rsidP="006315DD">
      <w:pPr>
        <w:tabs>
          <w:tab w:val="left" w:pos="946"/>
          <w:tab w:val="left" w:pos="1397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района в </w:t>
      </w:r>
      <w:r w:rsidR="00C17D73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год</w:t>
      </w:r>
      <w:r w:rsidR="00C17D73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не реализовывались инвестиционные внебюджетные инвестиционные проекты.</w:t>
      </w:r>
    </w:p>
    <w:p w:rsidR="001C5E5A" w:rsidRPr="008F2D12" w:rsidRDefault="001C5E5A" w:rsidP="006315DD">
      <w:pPr>
        <w:tabs>
          <w:tab w:val="left" w:pos="946"/>
          <w:tab w:val="left" w:pos="1397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C5E5A" w:rsidRPr="008F2D12" w:rsidRDefault="001C5E5A" w:rsidP="006315DD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D12">
        <w:rPr>
          <w:rFonts w:ascii="Times New Roman" w:hAnsi="Times New Roman"/>
          <w:b/>
          <w:sz w:val="26"/>
          <w:szCs w:val="26"/>
        </w:rPr>
        <w:t>Выполнение краевых программ и муниципальных программ</w:t>
      </w:r>
    </w:p>
    <w:p w:rsidR="001C5E5A" w:rsidRDefault="009F6DC6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C17D73">
        <w:rPr>
          <w:rFonts w:ascii="Times New Roman" w:hAnsi="Times New Roman"/>
          <w:color w:val="000000"/>
          <w:sz w:val="26"/>
          <w:szCs w:val="26"/>
        </w:rPr>
        <w:t>2023</w:t>
      </w:r>
      <w:r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C17D73">
        <w:rPr>
          <w:rFonts w:ascii="Times New Roman" w:hAnsi="Times New Roman"/>
          <w:color w:val="000000"/>
          <w:sz w:val="26"/>
          <w:szCs w:val="26"/>
        </w:rPr>
        <w:t>у</w:t>
      </w:r>
      <w:r>
        <w:rPr>
          <w:rFonts w:ascii="Times New Roman" w:hAnsi="Times New Roman"/>
          <w:color w:val="000000"/>
          <w:sz w:val="26"/>
          <w:szCs w:val="26"/>
        </w:rPr>
        <w:t xml:space="preserve"> н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>а территории Бурлинского района</w:t>
      </w:r>
      <w:r w:rsidR="001C5E5A">
        <w:rPr>
          <w:rFonts w:ascii="Times New Roman" w:hAnsi="Times New Roman"/>
          <w:color w:val="000000"/>
          <w:sz w:val="26"/>
          <w:szCs w:val="26"/>
        </w:rPr>
        <w:t xml:space="preserve"> действует </w:t>
      </w:r>
      <w:r w:rsidR="001C5E5A">
        <w:rPr>
          <w:rFonts w:ascii="Times New Roman" w:hAnsi="Times New Roman"/>
          <w:b/>
          <w:color w:val="000000"/>
          <w:sz w:val="26"/>
          <w:szCs w:val="26"/>
        </w:rPr>
        <w:t>33</w:t>
      </w:r>
      <w:r w:rsidR="001C5E5A" w:rsidRPr="002D5B7D">
        <w:rPr>
          <w:rFonts w:ascii="Times New Roman" w:hAnsi="Times New Roman"/>
          <w:b/>
          <w:color w:val="000000"/>
          <w:sz w:val="26"/>
          <w:szCs w:val="26"/>
        </w:rPr>
        <w:t xml:space="preserve"> программ</w:t>
      </w:r>
      <w:r w:rsidR="001C5E5A">
        <w:rPr>
          <w:rFonts w:ascii="Times New Roman" w:hAnsi="Times New Roman"/>
          <w:b/>
          <w:color w:val="000000"/>
          <w:sz w:val="26"/>
          <w:szCs w:val="26"/>
        </w:rPr>
        <w:t>ы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>,</w:t>
      </w:r>
      <w:r w:rsidR="001C5E5A" w:rsidRPr="00D234B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C5E5A" w:rsidRPr="00B515EC">
        <w:rPr>
          <w:rFonts w:ascii="Times New Roman" w:hAnsi="Times New Roman"/>
          <w:color w:val="000000"/>
          <w:sz w:val="26"/>
          <w:szCs w:val="26"/>
        </w:rPr>
        <w:t xml:space="preserve">в том числе </w:t>
      </w:r>
      <w:r w:rsidR="001C5E5A">
        <w:rPr>
          <w:rFonts w:ascii="Times New Roman" w:hAnsi="Times New Roman"/>
          <w:color w:val="000000"/>
          <w:sz w:val="26"/>
          <w:szCs w:val="26"/>
        </w:rPr>
        <w:t>11</w:t>
      </w:r>
      <w:r w:rsidR="001C5E5A" w:rsidRPr="00B515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5E5A">
        <w:rPr>
          <w:rFonts w:ascii="Times New Roman" w:hAnsi="Times New Roman"/>
          <w:color w:val="000000"/>
          <w:sz w:val="26"/>
          <w:szCs w:val="26"/>
        </w:rPr>
        <w:t>государственных</w:t>
      </w:r>
      <w:r w:rsidR="001C5E5A" w:rsidRPr="00B515EC">
        <w:rPr>
          <w:rFonts w:ascii="Times New Roman" w:hAnsi="Times New Roman"/>
          <w:color w:val="000000"/>
          <w:sz w:val="26"/>
          <w:szCs w:val="26"/>
        </w:rPr>
        <w:t xml:space="preserve"> программ</w:t>
      </w:r>
      <w:r w:rsidR="001C5E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1C5E5A">
        <w:rPr>
          <w:rFonts w:ascii="Times New Roman" w:hAnsi="Times New Roman"/>
          <w:color w:val="000000"/>
          <w:sz w:val="26"/>
          <w:szCs w:val="26"/>
        </w:rPr>
        <w:t>22</w:t>
      </w:r>
      <w:r w:rsidR="001C5E5A" w:rsidRPr="002D5B7D">
        <w:rPr>
          <w:rFonts w:ascii="Times New Roman" w:hAnsi="Times New Roman"/>
          <w:color w:val="000000"/>
          <w:sz w:val="26"/>
          <w:szCs w:val="26"/>
        </w:rPr>
        <w:t xml:space="preserve"> муниципальных программ</w:t>
      </w:r>
      <w:r w:rsidR="001C5E5A" w:rsidRPr="00912D90">
        <w:rPr>
          <w:rFonts w:ascii="Times New Roman" w:hAnsi="Times New Roman"/>
          <w:sz w:val="26"/>
          <w:szCs w:val="26"/>
        </w:rPr>
        <w:t>.</w:t>
      </w:r>
      <w:r w:rsidR="001C5E5A" w:rsidRPr="00912D90">
        <w:rPr>
          <w:rFonts w:ascii="Times New Roman" w:hAnsi="Times New Roman"/>
          <w:b/>
          <w:sz w:val="26"/>
          <w:szCs w:val="26"/>
        </w:rPr>
        <w:t xml:space="preserve"> </w:t>
      </w:r>
    </w:p>
    <w:p w:rsidR="001C5E5A" w:rsidRPr="00A03993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 xml:space="preserve">В рамках реализации краевых и муниципальных программ по укреплению и модернизации материально-технической базы бюджетной и коммунальной </w:t>
      </w:r>
      <w:r w:rsidRPr="00A03993">
        <w:rPr>
          <w:rFonts w:ascii="Times New Roman" w:hAnsi="Times New Roman"/>
          <w:sz w:val="26"/>
          <w:szCs w:val="26"/>
        </w:rPr>
        <w:lastRenderedPageBreak/>
        <w:t xml:space="preserve">инфраструктуры, благоустройству, Администрацией района привлечено и освоено из различных источников </w:t>
      </w:r>
      <w:r w:rsidR="00E401C6" w:rsidRPr="00E401C6">
        <w:rPr>
          <w:rFonts w:ascii="Times New Roman" w:hAnsi="Times New Roman"/>
          <w:sz w:val="26"/>
          <w:szCs w:val="26"/>
        </w:rPr>
        <w:t xml:space="preserve">более </w:t>
      </w:r>
      <w:r w:rsidR="00E401C6" w:rsidRPr="00B04D6F">
        <w:rPr>
          <w:rFonts w:ascii="Times New Roman" w:hAnsi="Times New Roman"/>
          <w:sz w:val="26"/>
          <w:szCs w:val="26"/>
        </w:rPr>
        <w:t>150</w:t>
      </w:r>
      <w:r w:rsidR="009F6DC6" w:rsidRPr="00B04D6F">
        <w:rPr>
          <w:rFonts w:ascii="Times New Roman" w:hAnsi="Times New Roman"/>
          <w:sz w:val="26"/>
          <w:szCs w:val="26"/>
        </w:rPr>
        <w:t xml:space="preserve"> </w:t>
      </w:r>
      <w:r w:rsidRPr="00B04D6F">
        <w:rPr>
          <w:rFonts w:ascii="Times New Roman" w:hAnsi="Times New Roman"/>
          <w:sz w:val="26"/>
          <w:szCs w:val="26"/>
        </w:rPr>
        <w:t>млн</w:t>
      </w:r>
      <w:r w:rsidRPr="00A03993">
        <w:rPr>
          <w:rFonts w:ascii="Times New Roman" w:hAnsi="Times New Roman"/>
          <w:sz w:val="26"/>
          <w:szCs w:val="26"/>
        </w:rPr>
        <w:t>. рублей.</w:t>
      </w:r>
    </w:p>
    <w:p w:rsidR="001C5E5A" w:rsidRPr="00A03993" w:rsidRDefault="001C5E5A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3993">
        <w:rPr>
          <w:rFonts w:ascii="Times New Roman" w:hAnsi="Times New Roman"/>
          <w:sz w:val="26"/>
          <w:szCs w:val="26"/>
        </w:rPr>
        <w:t xml:space="preserve">В том числе: </w:t>
      </w:r>
    </w:p>
    <w:p w:rsidR="00C8309E" w:rsidRDefault="00C8309E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401C6">
        <w:rPr>
          <w:rFonts w:ascii="Times New Roman" w:hAnsi="Times New Roman"/>
          <w:b/>
          <w:sz w:val="26"/>
          <w:szCs w:val="26"/>
          <w:u w:val="single"/>
        </w:rPr>
        <w:t>202</w:t>
      </w:r>
      <w:r w:rsidR="001A5BD3">
        <w:rPr>
          <w:rFonts w:ascii="Times New Roman" w:hAnsi="Times New Roman"/>
          <w:b/>
          <w:sz w:val="26"/>
          <w:szCs w:val="26"/>
          <w:u w:val="single"/>
        </w:rPr>
        <w:t>3</w:t>
      </w:r>
      <w:r w:rsidRPr="00E401C6">
        <w:rPr>
          <w:rFonts w:ascii="Times New Roman" w:hAnsi="Times New Roman"/>
          <w:b/>
          <w:sz w:val="26"/>
          <w:szCs w:val="26"/>
          <w:u w:val="single"/>
        </w:rPr>
        <w:t xml:space="preserve"> год:</w:t>
      </w:r>
    </w:p>
    <w:p w:rsidR="00B04D6F" w:rsidRDefault="00B04D6F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- 27695 тыс. рублей – капитальный ремонт теплотрассы в селе Михайловка;</w:t>
      </w:r>
    </w:p>
    <w:p w:rsidR="00B04D6F" w:rsidRDefault="00B04D6F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- 3184 тыс. рублей – для обустройства хоккейной коробки в с. Бурла;</w:t>
      </w:r>
    </w:p>
    <w:p w:rsidR="00B04D6F" w:rsidRDefault="00B04D6F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- 15000 тыс. рублей – для капитального ремонта здания детского сада «Одуванчик»;</w:t>
      </w:r>
    </w:p>
    <w:p w:rsidR="00B04D6F" w:rsidRDefault="00B04D6F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- 3640 тыс. рублей – для приобретения оборудования в школы;</w:t>
      </w:r>
    </w:p>
    <w:p w:rsidR="00B04D6F" w:rsidRPr="00B04D6F" w:rsidRDefault="00B04D6F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- 4354 тыс. рублей – для капитального ремонта школы в с. Новосельское;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- 19081 тыс. рублей – для технического перевооружения водозаборного сооружения в с. Михайловка;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- 80044 тыс. рублей – для капитального ремонта школы в с. Михайловка;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- 16488 тыс. рублей – для технического перевооружения котельной школы в с. Бурла;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 xml:space="preserve">- 1485 тыс. рублей – для частичного капитального ремонта детского сада в с. Новопесчаное; 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- 1732 тыс. рублей – для капитального ремонта водопровода в с. Михайловка;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- 2600 тыс. рублей – для разработки проектно-сметной документации по капитальному ремонту районного Дома культуры в Бурле;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 xml:space="preserve">- 2643 тыс. рублей – для разработки проектно-сметной документации по капитальному ремонту и строительству зданий детсада в с. Бурла;  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- 463 тыс. рублей – для разработки проектно-сметной документации по капитальному ремонту Бурлинской средней школы в с.Бурла;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 xml:space="preserve">- 363 тыс. рублей – для замены оконных блоков в здании районного краеведческого музея в с. Бурла; 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- 96 тыс. рублей – на ремонт водопровода в с. Новопесчаное;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- 540 тыс. рублей – для ограждения кладбища в с. Партизанского сельсовета;</w:t>
      </w:r>
    </w:p>
    <w:p w:rsidR="00634C57" w:rsidRPr="00B04D6F" w:rsidRDefault="00634C57" w:rsidP="006315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- 1161 тыс. рублей – для ремонта уличного освещения и приобретения главного сетевого насоса системы водоснабжения головных сооружений в с. Бурла;</w:t>
      </w:r>
    </w:p>
    <w:p w:rsidR="00634C57" w:rsidRPr="00B04D6F" w:rsidRDefault="00634C57" w:rsidP="006315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- 276 тыс. рублей – для капитального ремонта здания СДК в с. Притыка;</w:t>
      </w:r>
    </w:p>
    <w:p w:rsidR="00634C57" w:rsidRPr="00B04D6F" w:rsidRDefault="00634C57" w:rsidP="006315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- 700 тыс. рублей – для ремонта фасада здания СДК в с. Лесное;</w:t>
      </w:r>
    </w:p>
    <w:p w:rsidR="00634C57" w:rsidRPr="00B04D6F" w:rsidRDefault="00634C57" w:rsidP="006315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- 350 тыс. рублей – для ремонта здания сельсовета в с. Новосельское;</w:t>
      </w:r>
    </w:p>
    <w:p w:rsidR="00634C57" w:rsidRPr="00B04D6F" w:rsidRDefault="00634C57" w:rsidP="006315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- 830 тыс. рублей – для устройства контейнерных площадок на территории учреждений в с. Бурла;</w:t>
      </w:r>
    </w:p>
    <w:p w:rsidR="00634C57" w:rsidRPr="00B04D6F" w:rsidRDefault="00634C57" w:rsidP="006315DD">
      <w:pPr>
        <w:tabs>
          <w:tab w:val="left" w:pos="15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- 178 тыс. рублей – для устройства тротуарной площадки на территории школы в с. Новопесчаное;</w:t>
      </w:r>
    </w:p>
    <w:p w:rsidR="00634C57" w:rsidRPr="00B04D6F" w:rsidRDefault="00634C57" w:rsidP="006315DD">
      <w:pPr>
        <w:tabs>
          <w:tab w:val="left" w:pos="15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- 90 тыс. рублей – для ремонта электропроводки и оборудования в здании школы с. Новопесчаное;</w:t>
      </w:r>
    </w:p>
    <w:p w:rsidR="00634C57" w:rsidRPr="00B04D6F" w:rsidRDefault="00634C57" w:rsidP="006315DD">
      <w:pPr>
        <w:tabs>
          <w:tab w:val="left" w:pos="15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- 178 тыс. рублей – для частичного ремонта здания сельсовета в с. Новопесчаное;</w:t>
      </w:r>
    </w:p>
    <w:p w:rsidR="00634C57" w:rsidRPr="00B04D6F" w:rsidRDefault="006315DD" w:rsidP="006315DD">
      <w:pPr>
        <w:tabs>
          <w:tab w:val="left" w:pos="15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- 60 тыс. рублей –</w:t>
      </w:r>
      <w:r w:rsidR="00634C57" w:rsidRPr="00B04D6F">
        <w:rPr>
          <w:rFonts w:ascii="Times New Roman" w:hAnsi="Times New Roman"/>
          <w:sz w:val="26"/>
          <w:szCs w:val="26"/>
        </w:rPr>
        <w:t xml:space="preserve"> для замены дверного блока в здании школы с. Новосельское;</w:t>
      </w:r>
    </w:p>
    <w:p w:rsidR="00634C57" w:rsidRPr="00B04D6F" w:rsidRDefault="00634C57" w:rsidP="006315DD">
      <w:pPr>
        <w:tabs>
          <w:tab w:val="left" w:pos="15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- 100 тыс. рублей – для частичного ремонта здания администрации в с. Устьянка;</w:t>
      </w:r>
    </w:p>
    <w:p w:rsidR="00634C57" w:rsidRPr="00B04D6F" w:rsidRDefault="00634C57" w:rsidP="006315DD">
      <w:pPr>
        <w:tabs>
          <w:tab w:val="left" w:pos="15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>- 186 тыс. рублей – для приобретения и установки отопительного котла в котельной детсада с. Новоандреевка;</w:t>
      </w:r>
    </w:p>
    <w:p w:rsidR="001C5E5A" w:rsidRPr="00B04D6F" w:rsidRDefault="00634C57" w:rsidP="006315DD">
      <w:pPr>
        <w:widowControl w:val="0"/>
        <w:suppressAutoHyphens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B04D6F">
        <w:rPr>
          <w:rFonts w:ascii="Times New Roman" w:hAnsi="Times New Roman"/>
          <w:sz w:val="26"/>
          <w:szCs w:val="26"/>
        </w:rPr>
        <w:t xml:space="preserve">- 60500 тыс. рублей </w:t>
      </w:r>
      <w:r w:rsidR="00B04D6F" w:rsidRPr="00B04D6F">
        <w:rPr>
          <w:rFonts w:ascii="Times New Roman" w:hAnsi="Times New Roman"/>
          <w:sz w:val="26"/>
          <w:szCs w:val="26"/>
        </w:rPr>
        <w:t xml:space="preserve">на </w:t>
      </w:r>
      <w:r w:rsidRPr="00B04D6F">
        <w:rPr>
          <w:rFonts w:ascii="Times New Roman" w:hAnsi="Times New Roman"/>
          <w:sz w:val="26"/>
          <w:szCs w:val="26"/>
        </w:rPr>
        <w:t xml:space="preserve">содержание и ремонт </w:t>
      </w:r>
      <w:r w:rsidR="00B04D6F" w:rsidRPr="00B04D6F">
        <w:rPr>
          <w:rFonts w:ascii="Times New Roman" w:hAnsi="Times New Roman"/>
          <w:sz w:val="26"/>
          <w:szCs w:val="26"/>
        </w:rPr>
        <w:t>дорог.</w:t>
      </w:r>
    </w:p>
    <w:p w:rsidR="001C5E5A" w:rsidRDefault="001C5E5A" w:rsidP="006315DD">
      <w:pPr>
        <w:suppressAutoHyphens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</w:rPr>
      </w:pPr>
      <w:r w:rsidRPr="00BD602E">
        <w:rPr>
          <w:rFonts w:ascii="Times New Roman" w:hAnsi="Times New Roman"/>
          <w:b/>
          <w:color w:val="000000"/>
          <w:sz w:val="26"/>
          <w:szCs w:val="26"/>
        </w:rPr>
        <w:t>Из 2</w:t>
      </w:r>
      <w:r>
        <w:rPr>
          <w:rFonts w:ascii="Times New Roman" w:hAnsi="Times New Roman"/>
          <w:b/>
          <w:color w:val="000000"/>
          <w:sz w:val="26"/>
          <w:szCs w:val="26"/>
        </w:rPr>
        <w:t>2</w:t>
      </w:r>
      <w:r w:rsidRPr="00BD602E">
        <w:rPr>
          <w:rFonts w:ascii="Times New Roman" w:hAnsi="Times New Roman"/>
          <w:b/>
          <w:color w:val="000000"/>
          <w:sz w:val="26"/>
          <w:szCs w:val="26"/>
        </w:rPr>
        <w:t xml:space="preserve"> муниципальных программ</w:t>
      </w:r>
      <w:r>
        <w:rPr>
          <w:rFonts w:ascii="Times New Roman" w:hAnsi="Times New Roman"/>
          <w:color w:val="000000"/>
          <w:sz w:val="26"/>
          <w:szCs w:val="26"/>
        </w:rPr>
        <w:t xml:space="preserve"> фактически освоено </w:t>
      </w:r>
      <w:r w:rsidR="00634C57">
        <w:rPr>
          <w:rFonts w:ascii="Times New Roman" w:hAnsi="Times New Roman"/>
          <w:b/>
          <w:color w:val="000000"/>
          <w:sz w:val="26"/>
          <w:szCs w:val="26"/>
        </w:rPr>
        <w:t>99962,4</w:t>
      </w:r>
      <w:r w:rsidRPr="00BD602E">
        <w:rPr>
          <w:rFonts w:ascii="Times New Roman" w:hAnsi="Times New Roman"/>
          <w:b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из </w:t>
      </w:r>
      <w:r w:rsidR="00634C57">
        <w:rPr>
          <w:rFonts w:ascii="Times New Roman" w:hAnsi="Times New Roman"/>
          <w:color w:val="000000"/>
          <w:sz w:val="26"/>
          <w:szCs w:val="26"/>
        </w:rPr>
        <w:t>94952,6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запланированных (</w:t>
      </w:r>
      <w:r w:rsidR="00634C57">
        <w:rPr>
          <w:rFonts w:ascii="Times New Roman" w:hAnsi="Times New Roman"/>
          <w:color w:val="000000"/>
          <w:sz w:val="26"/>
          <w:szCs w:val="26"/>
        </w:rPr>
        <w:t>105,3</w:t>
      </w:r>
      <w:r>
        <w:rPr>
          <w:rFonts w:ascii="Times New Roman" w:hAnsi="Times New Roman"/>
          <w:color w:val="000000"/>
          <w:sz w:val="26"/>
          <w:szCs w:val="26"/>
        </w:rPr>
        <w:t xml:space="preserve">%), в том числе федеральный бюджет – </w:t>
      </w:r>
      <w:r w:rsidR="00634C57">
        <w:rPr>
          <w:rFonts w:ascii="Times New Roman" w:hAnsi="Times New Roman"/>
          <w:color w:val="000000"/>
          <w:sz w:val="26"/>
          <w:szCs w:val="26"/>
        </w:rPr>
        <w:t>23295,2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краевой бюджет – </w:t>
      </w:r>
      <w:r w:rsidR="00634C57">
        <w:rPr>
          <w:rFonts w:ascii="Times New Roman" w:hAnsi="Times New Roman"/>
          <w:color w:val="000000"/>
          <w:sz w:val="26"/>
          <w:szCs w:val="26"/>
        </w:rPr>
        <w:t>67867,2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местный бюджет – </w:t>
      </w:r>
      <w:r w:rsidR="00634C57">
        <w:rPr>
          <w:rFonts w:ascii="Times New Roman" w:hAnsi="Times New Roman"/>
          <w:color w:val="000000"/>
          <w:sz w:val="26"/>
          <w:szCs w:val="26"/>
        </w:rPr>
        <w:t>7048,8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внебюджетные источники – </w:t>
      </w:r>
      <w:r w:rsidR="00634C57">
        <w:rPr>
          <w:rFonts w:ascii="Times New Roman" w:hAnsi="Times New Roman"/>
          <w:color w:val="000000"/>
          <w:sz w:val="26"/>
          <w:szCs w:val="26"/>
        </w:rPr>
        <w:t>1751,2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1C5E5A" w:rsidRPr="004B64C5" w:rsidRDefault="001C5E5A" w:rsidP="006315D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По итогам комплексной оценки муниципальных программ   Бурлинского рай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 xml:space="preserve">она за </w:t>
      </w:r>
      <w:r w:rsidR="001A5BD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2023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год</w:t>
      </w:r>
      <w:r w:rsidR="001A5BD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:</w:t>
      </w:r>
    </w:p>
    <w:p w:rsidR="001C5E5A" w:rsidRPr="004B64C5" w:rsidRDefault="001C5E5A" w:rsidP="008F2D1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- 1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муниципальных программ реализованы с высоким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сти;</w:t>
      </w:r>
    </w:p>
    <w:p w:rsidR="001C5E5A" w:rsidRDefault="001C5E5A" w:rsidP="008F2D1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4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муниципальные программы реализованы со средним уровнем эффективности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8F2D12" w:rsidRDefault="008F2D12" w:rsidP="008F2D12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5E5A" w:rsidRPr="00A03993" w:rsidRDefault="001C5E5A" w:rsidP="008F2D12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3993">
        <w:rPr>
          <w:rFonts w:ascii="Times New Roman" w:hAnsi="Times New Roman"/>
          <w:sz w:val="24"/>
          <w:szCs w:val="24"/>
        </w:rPr>
        <w:t>Таблица</w:t>
      </w:r>
    </w:p>
    <w:p w:rsidR="001C5E5A" w:rsidRDefault="001C5E5A" w:rsidP="001C5E5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8F2D12" w:rsidRDefault="001C5E5A" w:rsidP="006315D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Выполнение целевых индикаторов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Стратегии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социально-экономического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развития муниципального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образования </w:t>
      </w:r>
      <w:smartTag w:uri="urn:schemas-microsoft-com:office:smarttags" w:element="PersonName">
        <w:r w:rsidRPr="00315C58">
          <w:rPr>
            <w:rFonts w:ascii="Times New Roman" w:eastAsia="Times New Roman" w:hAnsi="Times New Roman"/>
            <w:b/>
            <w:sz w:val="26"/>
            <w:szCs w:val="26"/>
            <w:lang w:eastAsia="ru-RU"/>
          </w:rPr>
          <w:t>Бурлинский район</w:t>
        </w:r>
      </w:smartTag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на период до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35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в </w:t>
      </w:r>
      <w:r w:rsidR="001412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2023 году   </w:t>
      </w:r>
    </w:p>
    <w:p w:rsidR="001C5E5A" w:rsidRPr="00315C58" w:rsidRDefault="0014120A" w:rsidP="006315D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7"/>
        <w:gridCol w:w="6401"/>
        <w:gridCol w:w="1527"/>
        <w:gridCol w:w="1374"/>
        <w:gridCol w:w="16"/>
        <w:gridCol w:w="13"/>
      </w:tblGrid>
      <w:tr w:rsidR="007F2963" w:rsidRPr="000A518E" w:rsidTr="008F2D12">
        <w:trPr>
          <w:gridAfter w:val="2"/>
          <w:wAfter w:w="28" w:type="dxa"/>
          <w:trHeight w:val="790"/>
        </w:trPr>
        <w:tc>
          <w:tcPr>
            <w:tcW w:w="707" w:type="dxa"/>
            <w:shd w:val="clear" w:color="auto" w:fill="FFFFFF"/>
            <w:vAlign w:val="center"/>
          </w:tcPr>
          <w:p w:rsidR="007F2963" w:rsidRPr="00315C5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09" w:type="dxa"/>
            <w:gridSpan w:val="2"/>
            <w:shd w:val="clear" w:color="auto" w:fill="FFFFFF"/>
            <w:vAlign w:val="center"/>
          </w:tcPr>
          <w:p w:rsidR="007F2963" w:rsidRPr="00315C5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индикатора, единица измерения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7F2963" w:rsidRPr="00315C58" w:rsidRDefault="007F2963" w:rsidP="007F2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 год факт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7F2963" w:rsidRPr="00315C58" w:rsidRDefault="007F2963" w:rsidP="00E401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факт</w:t>
            </w:r>
          </w:p>
        </w:tc>
      </w:tr>
      <w:tr w:rsidR="007F2963" w:rsidRPr="000A518E" w:rsidTr="008F2D12">
        <w:trPr>
          <w:gridAfter w:val="2"/>
          <w:wAfter w:w="28" w:type="dxa"/>
          <w:trHeight w:hRule="exact" w:val="286"/>
        </w:trPr>
        <w:tc>
          <w:tcPr>
            <w:tcW w:w="707" w:type="dxa"/>
            <w:shd w:val="clear" w:color="auto" w:fill="FFFFFF"/>
            <w:vAlign w:val="center"/>
          </w:tcPr>
          <w:p w:rsidR="007F2963" w:rsidRPr="00315C5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9" w:type="dxa"/>
            <w:gridSpan w:val="2"/>
            <w:shd w:val="clear" w:color="auto" w:fill="FFFFFF"/>
            <w:vAlign w:val="center"/>
          </w:tcPr>
          <w:p w:rsidR="007F2963" w:rsidRPr="00315C5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7F2963" w:rsidRPr="00315C5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7F2963" w:rsidRPr="00315C5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C5E5A" w:rsidRPr="000A518E" w:rsidTr="008F2D12">
        <w:trPr>
          <w:gridAfter w:val="2"/>
          <w:wAfter w:w="28" w:type="dxa"/>
          <w:trHeight w:hRule="exact" w:val="385"/>
        </w:trPr>
        <w:tc>
          <w:tcPr>
            <w:tcW w:w="10017" w:type="dxa"/>
            <w:gridSpan w:val="5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Достижение высокого уровня и качества жизни населения</w:t>
            </w:r>
          </w:p>
        </w:tc>
      </w:tr>
      <w:tr w:rsidR="001C5E5A" w:rsidRPr="000A518E" w:rsidTr="008F2D12">
        <w:trPr>
          <w:gridAfter w:val="2"/>
          <w:wAfter w:w="28" w:type="dxa"/>
          <w:trHeight w:hRule="exact" w:val="277"/>
        </w:trPr>
        <w:tc>
          <w:tcPr>
            <w:tcW w:w="10017" w:type="dxa"/>
            <w:gridSpan w:val="5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9"/>
              </w:numPr>
              <w:tabs>
                <w:tab w:val="left" w:pos="426"/>
                <w:tab w:val="left" w:pos="2632"/>
                <w:tab w:val="left" w:pos="283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Улучшение демографической ситуации</w:t>
            </w:r>
          </w:p>
        </w:tc>
      </w:tr>
      <w:tr w:rsidR="007F2963" w:rsidRPr="000A518E" w:rsidTr="008F2D12">
        <w:trPr>
          <w:gridAfter w:val="2"/>
          <w:wAfter w:w="28" w:type="dxa"/>
          <w:trHeight w:hRule="exact" w:val="608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рождаемости, число родившихся на 1000 человек населения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374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</w:tr>
      <w:tr w:rsidR="007F2963" w:rsidRPr="000A518E" w:rsidTr="008F2D12">
        <w:trPr>
          <w:gridAfter w:val="2"/>
          <w:wAfter w:w="28" w:type="dxa"/>
          <w:trHeight w:hRule="exact" w:val="560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смертности, число умерших на 1000 человек населения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74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7F2963" w:rsidRPr="000A518E" w:rsidTr="008F2D12">
        <w:trPr>
          <w:gridAfter w:val="2"/>
          <w:wAfter w:w="28" w:type="dxa"/>
          <w:trHeight w:hRule="exact" w:val="710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естественного прироста населения на 1000 человек населения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9C1B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-9,3</w:t>
            </w:r>
          </w:p>
        </w:tc>
        <w:tc>
          <w:tcPr>
            <w:tcW w:w="1374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-8,4</w:t>
            </w:r>
          </w:p>
        </w:tc>
      </w:tr>
      <w:tr w:rsidR="001C5E5A" w:rsidRPr="000A518E" w:rsidTr="008F2D12">
        <w:trPr>
          <w:gridAfter w:val="2"/>
          <w:wAfter w:w="28" w:type="dxa"/>
          <w:trHeight w:hRule="exact" w:val="615"/>
        </w:trPr>
        <w:tc>
          <w:tcPr>
            <w:tcW w:w="10017" w:type="dxa"/>
            <w:gridSpan w:val="5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развития физической культуры и спорта, эффективной молодежной политики и патриотического воспитания молодежи</w:t>
            </w:r>
          </w:p>
        </w:tc>
      </w:tr>
      <w:tr w:rsidR="007F2963" w:rsidRPr="000A518E" w:rsidTr="008F2D12">
        <w:trPr>
          <w:gridAfter w:val="1"/>
          <w:wAfter w:w="12" w:type="dxa"/>
          <w:trHeight w:hRule="exact" w:val="942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населения</w:t>
            </w:r>
            <w:r w:rsidR="008F2D1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систематически занимающегося физкультурой и спортом, в общей численности населения,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7F2963" w:rsidRPr="000A518E" w:rsidTr="008F2D12">
        <w:trPr>
          <w:gridAfter w:val="1"/>
          <w:wAfter w:w="12" w:type="dxa"/>
          <w:trHeight w:hRule="exact" w:val="558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молодых семей, улучшивших жилищные условия, единиц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F2963" w:rsidRPr="00315C58" w:rsidTr="008F2D12">
        <w:trPr>
          <w:gridAfter w:val="1"/>
          <w:wAfter w:w="12" w:type="dxa"/>
          <w:trHeight w:hRule="exact" w:val="566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Количество проведенных районных молодежных мероприятий, единиц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27541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1C5E5A" w:rsidRPr="00315C58" w:rsidTr="008F2D12">
        <w:trPr>
          <w:gridAfter w:val="1"/>
          <w:wAfter w:w="12" w:type="dxa"/>
          <w:trHeight w:hRule="exact" w:val="375"/>
        </w:trPr>
        <w:tc>
          <w:tcPr>
            <w:tcW w:w="10033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высокого качества и доступности образования</w:t>
            </w:r>
          </w:p>
        </w:tc>
      </w:tr>
      <w:tr w:rsidR="007F2963" w:rsidRPr="00315C58" w:rsidTr="008F2D12">
        <w:trPr>
          <w:gridAfter w:val="1"/>
          <w:wAfter w:w="12" w:type="dxa"/>
          <w:trHeight w:hRule="exact" w:val="2309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E42D41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D41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F2963" w:rsidRPr="00315C58" w:rsidTr="008F2D12">
        <w:trPr>
          <w:gridAfter w:val="1"/>
          <w:wAfter w:w="12" w:type="dxa"/>
          <w:trHeight w:hRule="exact" w:val="1137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муниципальных образовательных учреждений, соответствующих современным требованиям обучения, в общем количестве общеобразовательных учреждений,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737615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7F2963" w:rsidRPr="00315C58" w:rsidTr="008F2D12">
        <w:trPr>
          <w:gridAfter w:val="1"/>
          <w:wAfter w:w="12" w:type="dxa"/>
          <w:trHeight w:hRule="exact" w:val="984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68,12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72,97</w:t>
            </w:r>
          </w:p>
        </w:tc>
      </w:tr>
      <w:tr w:rsidR="001C5E5A" w:rsidRPr="000A518E" w:rsidTr="008F2D12">
        <w:trPr>
          <w:gridAfter w:val="1"/>
          <w:wAfter w:w="12" w:type="dxa"/>
          <w:trHeight w:hRule="exact" w:val="642"/>
        </w:trPr>
        <w:tc>
          <w:tcPr>
            <w:tcW w:w="10033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сферы культуры (формирование условий для развития духовности, культуры и нравственного здоровья населения)</w:t>
            </w:r>
          </w:p>
        </w:tc>
      </w:tr>
      <w:tr w:rsidR="007F2963" w:rsidRPr="000A518E" w:rsidTr="008F2D12">
        <w:trPr>
          <w:gridAfter w:val="1"/>
          <w:wAfter w:w="12" w:type="dxa"/>
          <w:trHeight w:hRule="exact" w:val="638"/>
        </w:trPr>
        <w:tc>
          <w:tcPr>
            <w:tcW w:w="70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40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sz w:val="24"/>
                <w:szCs w:val="24"/>
              </w:rPr>
              <w:t>Увеличение числа посещений организаций культуры по отношению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90" w:type="dxa"/>
            <w:gridSpan w:val="2"/>
            <w:shd w:val="clear" w:color="auto" w:fill="FFFFFF"/>
          </w:tcPr>
          <w:p w:rsidR="007F2963" w:rsidRPr="004F7688" w:rsidRDefault="005F2390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1C5E5A" w:rsidRPr="000A518E" w:rsidTr="008F2D12">
        <w:trPr>
          <w:gridAfter w:val="1"/>
          <w:wAfter w:w="13" w:type="dxa"/>
          <w:trHeight w:hRule="exact" w:val="413"/>
        </w:trPr>
        <w:tc>
          <w:tcPr>
            <w:tcW w:w="10032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сбалансированного и эффективного рынка труда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851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Уровень зарегистрированной безработицы по отношению к численности трудоспособного населения (на конец периода),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709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Темп роста заработной платы работников по кругу крупных и средних организаций,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37615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</w:tr>
      <w:tr w:rsidR="001C5E5A" w:rsidRPr="000A518E" w:rsidTr="008F2D12">
        <w:trPr>
          <w:gridAfter w:val="1"/>
          <w:wAfter w:w="13" w:type="dxa"/>
          <w:trHeight w:hRule="exact" w:val="284"/>
        </w:trPr>
        <w:tc>
          <w:tcPr>
            <w:tcW w:w="10032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Содействие улучшению жилищных условий и повышение доступности жилья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439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Ввод в действие жилых домов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 xml:space="preserve">, кв. м           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1C5E5A" w:rsidRPr="000A518E" w:rsidTr="008F2D12">
        <w:trPr>
          <w:gridAfter w:val="1"/>
          <w:wAfter w:w="13" w:type="dxa"/>
          <w:trHeight w:hRule="exact" w:val="275"/>
        </w:trPr>
        <w:tc>
          <w:tcPr>
            <w:tcW w:w="10032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kern w:val="32"/>
                <w:sz w:val="24"/>
                <w:szCs w:val="24"/>
              </w:rPr>
              <w:t>Цель 2. С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оздание условий для устойчивого экономического роста</w:t>
            </w:r>
          </w:p>
        </w:tc>
      </w:tr>
      <w:tr w:rsidR="001C5E5A" w:rsidRPr="000A518E" w:rsidTr="008F2D12">
        <w:trPr>
          <w:gridAfter w:val="1"/>
          <w:wAfter w:w="13" w:type="dxa"/>
          <w:trHeight w:hRule="exact" w:val="421"/>
        </w:trPr>
        <w:tc>
          <w:tcPr>
            <w:tcW w:w="10032" w:type="dxa"/>
            <w:gridSpan w:val="6"/>
            <w:shd w:val="clear" w:color="auto" w:fill="FFFFFF"/>
          </w:tcPr>
          <w:p w:rsidR="001C5E5A" w:rsidRPr="004F7688" w:rsidRDefault="001C5E5A" w:rsidP="002332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Стабилизация ситуации в промышленности и ее развитие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842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промышленного производства по кругу крупных и средних организаций, % к предыдущему году в сопоставимых ценах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425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Производство продукции: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2963" w:rsidRPr="000A518E" w:rsidTr="008F2D12">
        <w:trPr>
          <w:gridAfter w:val="1"/>
          <w:wAfter w:w="13" w:type="dxa"/>
          <w:trHeight w:hRule="exact" w:val="423"/>
        </w:trPr>
        <w:tc>
          <w:tcPr>
            <w:tcW w:w="708" w:type="dxa"/>
            <w:shd w:val="clear" w:color="auto" w:fill="FFFFFF"/>
          </w:tcPr>
          <w:p w:rsidR="007F2963" w:rsidRPr="00FC30E1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30E1">
              <w:rPr>
                <w:rFonts w:ascii="Times New Roman" w:eastAsia="Times New Roman" w:hAnsi="Times New Roman"/>
                <w:lang w:eastAsia="ru-RU"/>
              </w:rPr>
              <w:t>2.1.2.1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тепловая энергия, тыс.</w:t>
            </w:r>
            <w:r w:rsidR="00B46B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Гкал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287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0E1">
              <w:rPr>
                <w:rFonts w:ascii="Times New Roman" w:eastAsia="Times New Roman" w:hAnsi="Times New Roman"/>
                <w:lang w:eastAsia="ru-RU"/>
              </w:rPr>
              <w:t>2.1.2.2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кондитерские изделия, тонн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C5E5A" w:rsidRPr="000A518E" w:rsidTr="008F2D12">
        <w:trPr>
          <w:gridAfter w:val="1"/>
          <w:wAfter w:w="13" w:type="dxa"/>
          <w:trHeight w:hRule="exact" w:val="369"/>
        </w:trPr>
        <w:tc>
          <w:tcPr>
            <w:tcW w:w="10032" w:type="dxa"/>
            <w:gridSpan w:val="6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</w:tr>
      <w:tr w:rsidR="007F2963" w:rsidRPr="000A518E" w:rsidTr="008F2D12">
        <w:trPr>
          <w:gridAfter w:val="1"/>
          <w:wAfter w:w="13" w:type="dxa"/>
          <w:trHeight w:hRule="exact" w:val="1415"/>
        </w:trPr>
        <w:tc>
          <w:tcPr>
            <w:tcW w:w="70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8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Индекс физического объема инвестиций в основной капитал (без субъектов малого предпринимательства и объемов инвестиций, не наблюдаемых прямыми статистическими методами), % 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 предыдущему году в сопоставимых ценах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9" w:type="dxa"/>
            <w:gridSpan w:val="2"/>
            <w:shd w:val="clear" w:color="auto" w:fill="FFFFFF"/>
          </w:tcPr>
          <w:p w:rsidR="007F2963" w:rsidRPr="004F7688" w:rsidRDefault="00737615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7F2963" w:rsidRPr="000A518E" w:rsidTr="008F2D12">
        <w:trPr>
          <w:trHeight w:hRule="exact" w:val="982"/>
        </w:trPr>
        <w:tc>
          <w:tcPr>
            <w:tcW w:w="715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1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продукции сельского хозяйства во всех категориях хозяйств, % к предыдущему году в сопоставимых ценах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402" w:type="dxa"/>
            <w:gridSpan w:val="3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1C5E5A" w:rsidRPr="000A518E" w:rsidTr="008F2D12">
        <w:trPr>
          <w:trHeight w:hRule="exact" w:val="351"/>
        </w:trPr>
        <w:tc>
          <w:tcPr>
            <w:tcW w:w="10045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благоприятных условий для развития сферы туризма</w:t>
            </w:r>
          </w:p>
        </w:tc>
      </w:tr>
      <w:tr w:rsidR="007F2963" w:rsidRPr="000A518E" w:rsidTr="008F2D12">
        <w:trPr>
          <w:trHeight w:hRule="exact" w:val="349"/>
        </w:trPr>
        <w:tc>
          <w:tcPr>
            <w:tcW w:w="715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401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Туристический поток (всего за год), человек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4084</w:t>
            </w:r>
          </w:p>
        </w:tc>
        <w:tc>
          <w:tcPr>
            <w:tcW w:w="1402" w:type="dxa"/>
            <w:gridSpan w:val="3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</w:t>
            </w:r>
          </w:p>
        </w:tc>
      </w:tr>
      <w:tr w:rsidR="001C5E5A" w:rsidRPr="000A518E" w:rsidTr="008F2D12">
        <w:trPr>
          <w:trHeight w:hRule="exact" w:val="273"/>
        </w:trPr>
        <w:tc>
          <w:tcPr>
            <w:tcW w:w="10045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Развитие малого предпринимательства</w:t>
            </w:r>
          </w:p>
        </w:tc>
      </w:tr>
      <w:tr w:rsidR="007F2963" w:rsidRPr="000A518E" w:rsidTr="008F2D12">
        <w:trPr>
          <w:trHeight w:hRule="exact" w:val="1010"/>
        </w:trPr>
        <w:tc>
          <w:tcPr>
            <w:tcW w:w="715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401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человек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402" w:type="dxa"/>
            <w:gridSpan w:val="3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</w:tr>
      <w:tr w:rsidR="001C5E5A" w:rsidRPr="000A518E" w:rsidTr="008F2D12">
        <w:trPr>
          <w:trHeight w:hRule="exact" w:val="401"/>
        </w:trPr>
        <w:tc>
          <w:tcPr>
            <w:tcW w:w="10045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Развитая инфраструктура</w:t>
            </w:r>
          </w:p>
        </w:tc>
      </w:tr>
      <w:tr w:rsidR="001C5E5A" w:rsidRPr="000A518E" w:rsidTr="008F2D12">
        <w:trPr>
          <w:trHeight w:hRule="exact" w:val="434"/>
        </w:trPr>
        <w:tc>
          <w:tcPr>
            <w:tcW w:w="10045" w:type="dxa"/>
            <w:gridSpan w:val="7"/>
            <w:tcBorders>
              <w:top w:val="nil"/>
            </w:tcBorders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3.1. Сохранение и развитие транспортной инфраструктуры</w:t>
            </w:r>
          </w:p>
        </w:tc>
      </w:tr>
      <w:tr w:rsidR="007F2963" w:rsidRPr="000A518E" w:rsidTr="008F2D12">
        <w:trPr>
          <w:trHeight w:hRule="exact" w:val="1491"/>
        </w:trPr>
        <w:tc>
          <w:tcPr>
            <w:tcW w:w="715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401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местного значения,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39,97</w:t>
            </w:r>
          </w:p>
        </w:tc>
        <w:tc>
          <w:tcPr>
            <w:tcW w:w="1402" w:type="dxa"/>
            <w:gridSpan w:val="3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73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C5E5A" w:rsidRPr="000A518E" w:rsidTr="008F2D12">
        <w:trPr>
          <w:trHeight w:hRule="exact" w:val="284"/>
        </w:trPr>
        <w:tc>
          <w:tcPr>
            <w:tcW w:w="10045" w:type="dxa"/>
            <w:gridSpan w:val="7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Модернизация и развитие коммунальной и энергетической инфраструктуры</w:t>
            </w:r>
          </w:p>
        </w:tc>
      </w:tr>
      <w:tr w:rsidR="007F2963" w:rsidRPr="000A518E" w:rsidTr="008F2D12">
        <w:trPr>
          <w:trHeight w:hRule="exact" w:val="994"/>
        </w:trPr>
        <w:tc>
          <w:tcPr>
            <w:tcW w:w="715" w:type="dxa"/>
            <w:gridSpan w:val="2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401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 района,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527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402" w:type="dxa"/>
            <w:gridSpan w:val="3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</w:tbl>
    <w:p w:rsidR="007F2963" w:rsidRDefault="007F2963">
      <w:r>
        <w:br w:type="page"/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6402"/>
        <w:gridCol w:w="1527"/>
        <w:gridCol w:w="1402"/>
      </w:tblGrid>
      <w:tr w:rsidR="001C5E5A" w:rsidRPr="000A518E" w:rsidTr="002332ED">
        <w:trPr>
          <w:trHeight w:hRule="exact" w:val="415"/>
        </w:trPr>
        <w:tc>
          <w:tcPr>
            <w:tcW w:w="10260" w:type="dxa"/>
            <w:gridSpan w:val="4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устойчивого развития потребительского рынка</w:t>
            </w:r>
          </w:p>
        </w:tc>
      </w:tr>
      <w:tr w:rsidR="007F2963" w:rsidRPr="000A518E" w:rsidTr="007F2963">
        <w:trPr>
          <w:trHeight w:hRule="exact" w:val="570"/>
        </w:trPr>
        <w:tc>
          <w:tcPr>
            <w:tcW w:w="72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542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 розничной торговли на душу населения, 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1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7F2963" w:rsidRPr="000A518E" w:rsidTr="007F2963">
        <w:trPr>
          <w:trHeight w:hRule="exact" w:val="564"/>
        </w:trPr>
        <w:tc>
          <w:tcPr>
            <w:tcW w:w="72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542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Объем платных услуг на душу населения, т. рублей</w:t>
            </w:r>
          </w:p>
        </w:tc>
        <w:tc>
          <w:tcPr>
            <w:tcW w:w="1559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31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C5E5A" w:rsidRPr="000A518E" w:rsidTr="002332ED">
        <w:trPr>
          <w:trHeight w:hRule="exact" w:val="1126"/>
        </w:trPr>
        <w:tc>
          <w:tcPr>
            <w:tcW w:w="10260" w:type="dxa"/>
            <w:gridSpan w:val="4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Информационно-телекоммуникационная инфраструктура (развитие информационного общества как основного драйвера роста цифровой экономики, цифровая трансформация муниципальных услуг и сервисов, развитие электронного правительства как цифровой платформы</w:t>
            </w:r>
          </w:p>
        </w:tc>
      </w:tr>
      <w:tr w:rsidR="007F2963" w:rsidRPr="000A518E" w:rsidTr="007F2963">
        <w:trPr>
          <w:trHeight w:hRule="exact" w:val="1277"/>
        </w:trPr>
        <w:tc>
          <w:tcPr>
            <w:tcW w:w="728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6542" w:type="dxa"/>
            <w:shd w:val="clear" w:color="auto" w:fill="FFFFFF"/>
          </w:tcPr>
          <w:p w:rsidR="007F2963" w:rsidRPr="004F7688" w:rsidRDefault="007F2963" w:rsidP="00533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r w:rsidR="0053319C">
              <w:rPr>
                <w:rFonts w:ascii="Times New Roman" w:hAnsi="Times New Roman"/>
                <w:bCs/>
                <w:sz w:val="24"/>
                <w:szCs w:val="24"/>
              </w:rPr>
              <w:t>внутриведомственного и межведомственного юридически значимого электронного документооборота органа местного самоуправления Алтайского края в его общем документообороте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, %</w:t>
            </w:r>
          </w:p>
        </w:tc>
        <w:tc>
          <w:tcPr>
            <w:tcW w:w="1559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31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1C5E5A" w:rsidRPr="000A518E" w:rsidTr="002332ED">
        <w:trPr>
          <w:trHeight w:hRule="exact" w:val="417"/>
        </w:trPr>
        <w:tc>
          <w:tcPr>
            <w:tcW w:w="10260" w:type="dxa"/>
            <w:gridSpan w:val="4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7F2963" w:rsidRPr="000A518E" w:rsidTr="007F2963">
        <w:trPr>
          <w:trHeight w:hRule="exact" w:val="706"/>
        </w:trPr>
        <w:tc>
          <w:tcPr>
            <w:tcW w:w="72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6542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Выброшено в атмосферу загрязняющих веществ, отходящих от стационарных источников, тыс. тонн</w:t>
            </w:r>
          </w:p>
        </w:tc>
        <w:tc>
          <w:tcPr>
            <w:tcW w:w="1559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31" w:type="dxa"/>
            <w:shd w:val="clear" w:color="auto" w:fill="FFFFFF"/>
          </w:tcPr>
          <w:p w:rsidR="007F2963" w:rsidRPr="004F7688" w:rsidRDefault="00737615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C5E5A" w:rsidRPr="000A518E" w:rsidTr="002332ED">
        <w:trPr>
          <w:trHeight w:hRule="exact" w:val="275"/>
        </w:trPr>
        <w:tc>
          <w:tcPr>
            <w:tcW w:w="10260" w:type="dxa"/>
            <w:gridSpan w:val="4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управления</w:t>
            </w:r>
          </w:p>
        </w:tc>
      </w:tr>
      <w:tr w:rsidR="001C5E5A" w:rsidRPr="000A518E" w:rsidTr="002332ED">
        <w:trPr>
          <w:trHeight w:hRule="exact" w:val="563"/>
        </w:trPr>
        <w:tc>
          <w:tcPr>
            <w:tcW w:w="10260" w:type="dxa"/>
            <w:gridSpan w:val="4"/>
            <w:shd w:val="clear" w:color="auto" w:fill="FFFFFF"/>
          </w:tcPr>
          <w:p w:rsidR="001C5E5A" w:rsidRPr="004F7688" w:rsidRDefault="001C5E5A" w:rsidP="002332E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и открытости деятельности органов местного самоуправления</w:t>
            </w:r>
          </w:p>
        </w:tc>
      </w:tr>
      <w:tr w:rsidR="007F2963" w:rsidRPr="000A518E" w:rsidTr="007F2963">
        <w:trPr>
          <w:trHeight w:hRule="exact" w:val="587"/>
        </w:trPr>
        <w:tc>
          <w:tcPr>
            <w:tcW w:w="72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542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населения деятельностью органов местного самоуправления, %</w:t>
            </w:r>
          </w:p>
        </w:tc>
        <w:tc>
          <w:tcPr>
            <w:tcW w:w="1559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1" w:type="dxa"/>
            <w:shd w:val="clear" w:color="auto" w:fill="FFFFFF"/>
          </w:tcPr>
          <w:p w:rsidR="007F2963" w:rsidRPr="004F7688" w:rsidRDefault="00737615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1C5E5A" w:rsidRPr="000A518E" w:rsidTr="002332ED">
        <w:trPr>
          <w:trHeight w:hRule="exact" w:val="566"/>
        </w:trPr>
        <w:tc>
          <w:tcPr>
            <w:tcW w:w="10260" w:type="dxa"/>
            <w:gridSpan w:val="4"/>
            <w:shd w:val="clear" w:color="auto" w:fill="FFFFFF"/>
          </w:tcPr>
          <w:p w:rsidR="001C5E5A" w:rsidRPr="004F7688" w:rsidRDefault="001C5E5A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Совершенствование системы управления муниципальными финансами и муниципальным имуществом</w:t>
            </w:r>
          </w:p>
        </w:tc>
      </w:tr>
      <w:tr w:rsidR="007F2963" w:rsidRPr="000A518E" w:rsidTr="007F2963">
        <w:trPr>
          <w:trHeight w:hRule="exact" w:val="986"/>
        </w:trPr>
        <w:tc>
          <w:tcPr>
            <w:tcW w:w="728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542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обеспеченность за счет налоговых и неналоговых доходов консолидированного бюджета муниципального района, рублей на душу населения</w:t>
            </w:r>
          </w:p>
        </w:tc>
        <w:tc>
          <w:tcPr>
            <w:tcW w:w="1559" w:type="dxa"/>
            <w:shd w:val="clear" w:color="auto" w:fill="FFFFFF"/>
          </w:tcPr>
          <w:p w:rsidR="007F2963" w:rsidRPr="004F7688" w:rsidRDefault="007F2963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9159</w:t>
            </w:r>
          </w:p>
        </w:tc>
        <w:tc>
          <w:tcPr>
            <w:tcW w:w="1431" w:type="dxa"/>
            <w:shd w:val="clear" w:color="auto" w:fill="FFFFFF"/>
          </w:tcPr>
          <w:p w:rsidR="007F2963" w:rsidRPr="004F7688" w:rsidRDefault="0053319C" w:rsidP="002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11782</w:t>
            </w:r>
          </w:p>
        </w:tc>
      </w:tr>
    </w:tbl>
    <w:p w:rsidR="001C5E5A" w:rsidRPr="00D234BB" w:rsidRDefault="001C5E5A" w:rsidP="001C5E5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5E5A" w:rsidRPr="00D234BB" w:rsidRDefault="001C5E5A" w:rsidP="001C5E5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7CE6" w:rsidRDefault="00227CE6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51FF" w:rsidRPr="00D234BB" w:rsidRDefault="003051FF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sz w:val="26"/>
          <w:szCs w:val="26"/>
        </w:rPr>
        <w:t>А</w:t>
      </w:r>
      <w:r w:rsidRPr="00D234BB">
        <w:rPr>
          <w:rFonts w:ascii="Times New Roman" w:hAnsi="Times New Roman"/>
          <w:sz w:val="26"/>
          <w:szCs w:val="26"/>
        </w:rPr>
        <w:t xml:space="preserve">дминистрации района, </w:t>
      </w:r>
    </w:p>
    <w:p w:rsidR="003051FF" w:rsidRPr="00D234BB" w:rsidRDefault="003051FF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начальник Управления по экономическому </w:t>
      </w:r>
    </w:p>
    <w:p w:rsidR="003051FF" w:rsidRPr="00D234BB" w:rsidRDefault="003051FF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3051FF" w:rsidRPr="00D234BB" w:rsidRDefault="003051FF" w:rsidP="003051FF">
      <w:pPr>
        <w:tabs>
          <w:tab w:val="left" w:pos="-30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>отношениям администрации райо</w:t>
      </w:r>
      <w:r>
        <w:rPr>
          <w:rFonts w:ascii="Times New Roman" w:hAnsi="Times New Roman"/>
          <w:sz w:val="26"/>
          <w:szCs w:val="26"/>
        </w:rPr>
        <w:t xml:space="preserve">на                                                            </w:t>
      </w:r>
      <w:r w:rsidRPr="00D234BB">
        <w:rPr>
          <w:rFonts w:ascii="Times New Roman" w:hAnsi="Times New Roman"/>
          <w:sz w:val="26"/>
          <w:szCs w:val="26"/>
        </w:rPr>
        <w:t xml:space="preserve">   О.В. Пыльцов</w:t>
      </w:r>
    </w:p>
    <w:p w:rsidR="008E3232" w:rsidRDefault="008E3232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04C1" w:rsidRDefault="009604C1" w:rsidP="003051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04C1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04C1" w:rsidRPr="00D234BB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566B" w:rsidRPr="00D234BB" w:rsidRDefault="00A5566B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5566B" w:rsidRPr="00D234BB" w:rsidSect="006315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53" w:rsidRDefault="00D61B53">
      <w:r>
        <w:separator/>
      </w:r>
    </w:p>
  </w:endnote>
  <w:endnote w:type="continuationSeparator" w:id="0">
    <w:p w:rsidR="00D61B53" w:rsidRDefault="00D6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53" w:rsidRDefault="00D61B53">
      <w:r>
        <w:separator/>
      </w:r>
    </w:p>
  </w:footnote>
  <w:footnote w:type="continuationSeparator" w:id="0">
    <w:p w:rsidR="00D61B53" w:rsidRDefault="00D6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ACE"/>
    <w:multiLevelType w:val="hybridMultilevel"/>
    <w:tmpl w:val="29B2E244"/>
    <w:lvl w:ilvl="0" w:tplc="F1445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16DA22">
      <w:numFmt w:val="none"/>
      <w:lvlText w:val=""/>
      <w:lvlJc w:val="left"/>
      <w:pPr>
        <w:tabs>
          <w:tab w:val="num" w:pos="360"/>
        </w:tabs>
      </w:pPr>
    </w:lvl>
    <w:lvl w:ilvl="2" w:tplc="D36A33F8">
      <w:numFmt w:val="none"/>
      <w:lvlText w:val=""/>
      <w:lvlJc w:val="left"/>
      <w:pPr>
        <w:tabs>
          <w:tab w:val="num" w:pos="360"/>
        </w:tabs>
      </w:pPr>
    </w:lvl>
    <w:lvl w:ilvl="3" w:tplc="05FCD9AE">
      <w:numFmt w:val="none"/>
      <w:lvlText w:val=""/>
      <w:lvlJc w:val="left"/>
      <w:pPr>
        <w:tabs>
          <w:tab w:val="num" w:pos="360"/>
        </w:tabs>
      </w:pPr>
    </w:lvl>
    <w:lvl w:ilvl="4" w:tplc="6B309882">
      <w:numFmt w:val="none"/>
      <w:lvlText w:val=""/>
      <w:lvlJc w:val="left"/>
      <w:pPr>
        <w:tabs>
          <w:tab w:val="num" w:pos="360"/>
        </w:tabs>
      </w:pPr>
    </w:lvl>
    <w:lvl w:ilvl="5" w:tplc="1E46C21A">
      <w:numFmt w:val="none"/>
      <w:lvlText w:val=""/>
      <w:lvlJc w:val="left"/>
      <w:pPr>
        <w:tabs>
          <w:tab w:val="num" w:pos="360"/>
        </w:tabs>
      </w:pPr>
    </w:lvl>
    <w:lvl w:ilvl="6" w:tplc="08FE751E">
      <w:numFmt w:val="none"/>
      <w:lvlText w:val=""/>
      <w:lvlJc w:val="left"/>
      <w:pPr>
        <w:tabs>
          <w:tab w:val="num" w:pos="360"/>
        </w:tabs>
      </w:pPr>
    </w:lvl>
    <w:lvl w:ilvl="7" w:tplc="6514064C">
      <w:numFmt w:val="none"/>
      <w:lvlText w:val=""/>
      <w:lvlJc w:val="left"/>
      <w:pPr>
        <w:tabs>
          <w:tab w:val="num" w:pos="360"/>
        </w:tabs>
      </w:pPr>
    </w:lvl>
    <w:lvl w:ilvl="8" w:tplc="E81043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21EA4"/>
    <w:multiLevelType w:val="hybridMultilevel"/>
    <w:tmpl w:val="6E7E502C"/>
    <w:lvl w:ilvl="0" w:tplc="7D664DE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E5666B"/>
    <w:multiLevelType w:val="hybridMultilevel"/>
    <w:tmpl w:val="26E44AB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635A74"/>
    <w:multiLevelType w:val="hybridMultilevel"/>
    <w:tmpl w:val="85162F9C"/>
    <w:lvl w:ilvl="0" w:tplc="9220669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DE7682"/>
    <w:multiLevelType w:val="multilevel"/>
    <w:tmpl w:val="4CE43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4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sz w:val="26"/>
      </w:rPr>
    </w:lvl>
  </w:abstractNum>
  <w:abstractNum w:abstractNumId="5">
    <w:nsid w:val="346962DB"/>
    <w:multiLevelType w:val="hybridMultilevel"/>
    <w:tmpl w:val="2CD8E3C0"/>
    <w:lvl w:ilvl="0" w:tplc="D0700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2E36D6"/>
    <w:multiLevelType w:val="hybridMultilevel"/>
    <w:tmpl w:val="39D618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A96"/>
    <w:multiLevelType w:val="hybridMultilevel"/>
    <w:tmpl w:val="37DECDF2"/>
    <w:lvl w:ilvl="0" w:tplc="9732E7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E1175CA"/>
    <w:multiLevelType w:val="hybridMultilevel"/>
    <w:tmpl w:val="842624B2"/>
    <w:lvl w:ilvl="0" w:tplc="8A1A9D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9E6508"/>
    <w:multiLevelType w:val="hybridMultilevel"/>
    <w:tmpl w:val="7B1658B2"/>
    <w:lvl w:ilvl="0" w:tplc="2E5A8848">
      <w:start w:val="1"/>
      <w:numFmt w:val="bullet"/>
      <w:lvlText w:val=""/>
      <w:lvlJc w:val="left"/>
      <w:pPr>
        <w:tabs>
          <w:tab w:val="num" w:pos="1503"/>
        </w:tabs>
        <w:ind w:left="1503" w:hanging="36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75CF614D"/>
    <w:multiLevelType w:val="hybridMultilevel"/>
    <w:tmpl w:val="86C4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9C00D6"/>
    <w:multiLevelType w:val="multilevel"/>
    <w:tmpl w:val="317EF47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hint="default"/>
        <w:b/>
        <w:sz w:val="26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ascii="Calibri" w:eastAsia="Calibri" w:hAnsi="Calibr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ascii="Calibri" w:eastAsia="Calibri" w:hAnsi="Calibr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ascii="Calibri" w:eastAsia="Calibri" w:hAnsi="Calibr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ascii="Calibri" w:eastAsia="Calibri" w:hAnsi="Calibr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ascii="Calibri" w:eastAsia="Calibri" w:hAnsi="Calibr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ascii="Calibri" w:eastAsia="Calibri" w:hAnsi="Calibr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ascii="Calibri" w:eastAsia="Calibri" w:hAnsi="Calibri" w:hint="default"/>
        <w:b/>
        <w:sz w:val="26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AF4"/>
    <w:rsid w:val="00001F02"/>
    <w:rsid w:val="00002C37"/>
    <w:rsid w:val="0002104E"/>
    <w:rsid w:val="000376D8"/>
    <w:rsid w:val="000403CD"/>
    <w:rsid w:val="0004083E"/>
    <w:rsid w:val="000414DD"/>
    <w:rsid w:val="00043CFF"/>
    <w:rsid w:val="00046443"/>
    <w:rsid w:val="00046F29"/>
    <w:rsid w:val="00060E12"/>
    <w:rsid w:val="00061D08"/>
    <w:rsid w:val="00062266"/>
    <w:rsid w:val="000638E3"/>
    <w:rsid w:val="000803A7"/>
    <w:rsid w:val="00083BA4"/>
    <w:rsid w:val="00096D0D"/>
    <w:rsid w:val="000A1667"/>
    <w:rsid w:val="000A6D85"/>
    <w:rsid w:val="000B3C5B"/>
    <w:rsid w:val="000B42E9"/>
    <w:rsid w:val="000C33C0"/>
    <w:rsid w:val="000C5EFA"/>
    <w:rsid w:val="000C72BB"/>
    <w:rsid w:val="000D0FE9"/>
    <w:rsid w:val="000E2607"/>
    <w:rsid w:val="000E3F65"/>
    <w:rsid w:val="000E437A"/>
    <w:rsid w:val="000E4CDF"/>
    <w:rsid w:val="000F0C58"/>
    <w:rsid w:val="000F1E1D"/>
    <w:rsid w:val="000F5D94"/>
    <w:rsid w:val="00110E19"/>
    <w:rsid w:val="00112B26"/>
    <w:rsid w:val="00122E95"/>
    <w:rsid w:val="00125300"/>
    <w:rsid w:val="001256D8"/>
    <w:rsid w:val="00131FF4"/>
    <w:rsid w:val="0014120A"/>
    <w:rsid w:val="0014425E"/>
    <w:rsid w:val="00163221"/>
    <w:rsid w:val="00166D35"/>
    <w:rsid w:val="00180F38"/>
    <w:rsid w:val="001825C9"/>
    <w:rsid w:val="001A5497"/>
    <w:rsid w:val="001A5BD3"/>
    <w:rsid w:val="001B00AB"/>
    <w:rsid w:val="001B23FD"/>
    <w:rsid w:val="001C5E5A"/>
    <w:rsid w:val="001C7FE5"/>
    <w:rsid w:val="001D1789"/>
    <w:rsid w:val="001E36AC"/>
    <w:rsid w:val="001E5C76"/>
    <w:rsid w:val="001F2C75"/>
    <w:rsid w:val="001F3433"/>
    <w:rsid w:val="001F62D5"/>
    <w:rsid w:val="001F7D4B"/>
    <w:rsid w:val="00204CC8"/>
    <w:rsid w:val="00204D9C"/>
    <w:rsid w:val="00207BC8"/>
    <w:rsid w:val="002139FB"/>
    <w:rsid w:val="00224A6D"/>
    <w:rsid w:val="002257B6"/>
    <w:rsid w:val="00227CE6"/>
    <w:rsid w:val="002332ED"/>
    <w:rsid w:val="002340AF"/>
    <w:rsid w:val="00241226"/>
    <w:rsid w:val="00242A73"/>
    <w:rsid w:val="00252A16"/>
    <w:rsid w:val="00263182"/>
    <w:rsid w:val="00265183"/>
    <w:rsid w:val="00266328"/>
    <w:rsid w:val="00271F05"/>
    <w:rsid w:val="0027541A"/>
    <w:rsid w:val="00275659"/>
    <w:rsid w:val="00287169"/>
    <w:rsid w:val="00287C6F"/>
    <w:rsid w:val="00287F07"/>
    <w:rsid w:val="002A5C37"/>
    <w:rsid w:val="002A674C"/>
    <w:rsid w:val="002B3F32"/>
    <w:rsid w:val="002D1878"/>
    <w:rsid w:val="002D21BD"/>
    <w:rsid w:val="002D5B7D"/>
    <w:rsid w:val="002D5DFE"/>
    <w:rsid w:val="002D746C"/>
    <w:rsid w:val="002E2B13"/>
    <w:rsid w:val="002E5EAE"/>
    <w:rsid w:val="002F1A17"/>
    <w:rsid w:val="002F3D51"/>
    <w:rsid w:val="003051FF"/>
    <w:rsid w:val="00315C58"/>
    <w:rsid w:val="00330B6B"/>
    <w:rsid w:val="00344CEA"/>
    <w:rsid w:val="00346DD6"/>
    <w:rsid w:val="003506B3"/>
    <w:rsid w:val="00352515"/>
    <w:rsid w:val="003568F2"/>
    <w:rsid w:val="003660A0"/>
    <w:rsid w:val="003710ED"/>
    <w:rsid w:val="0037143F"/>
    <w:rsid w:val="00375727"/>
    <w:rsid w:val="00382787"/>
    <w:rsid w:val="003864B7"/>
    <w:rsid w:val="003959F6"/>
    <w:rsid w:val="003A0C25"/>
    <w:rsid w:val="003A1DDE"/>
    <w:rsid w:val="003B4A89"/>
    <w:rsid w:val="003B5D06"/>
    <w:rsid w:val="003D03EE"/>
    <w:rsid w:val="003D1601"/>
    <w:rsid w:val="003D2E4D"/>
    <w:rsid w:val="003D5005"/>
    <w:rsid w:val="003D7D64"/>
    <w:rsid w:val="003E2FE2"/>
    <w:rsid w:val="003F34BE"/>
    <w:rsid w:val="003F44D3"/>
    <w:rsid w:val="00401627"/>
    <w:rsid w:val="00415260"/>
    <w:rsid w:val="0043368B"/>
    <w:rsid w:val="00434808"/>
    <w:rsid w:val="00441976"/>
    <w:rsid w:val="00443F7A"/>
    <w:rsid w:val="00474998"/>
    <w:rsid w:val="004807B7"/>
    <w:rsid w:val="00480C5A"/>
    <w:rsid w:val="004A2D09"/>
    <w:rsid w:val="004A50FD"/>
    <w:rsid w:val="004B64C5"/>
    <w:rsid w:val="004B7EA3"/>
    <w:rsid w:val="004D08F6"/>
    <w:rsid w:val="004D725C"/>
    <w:rsid w:val="004E0E7A"/>
    <w:rsid w:val="004E3E44"/>
    <w:rsid w:val="004E65B8"/>
    <w:rsid w:val="004E7A58"/>
    <w:rsid w:val="004F5D9A"/>
    <w:rsid w:val="004F7688"/>
    <w:rsid w:val="0050239C"/>
    <w:rsid w:val="005034DE"/>
    <w:rsid w:val="005044D9"/>
    <w:rsid w:val="00506FE4"/>
    <w:rsid w:val="00513517"/>
    <w:rsid w:val="00521BA3"/>
    <w:rsid w:val="0053079D"/>
    <w:rsid w:val="005310E3"/>
    <w:rsid w:val="0053319C"/>
    <w:rsid w:val="0053419D"/>
    <w:rsid w:val="00535669"/>
    <w:rsid w:val="005411C3"/>
    <w:rsid w:val="005415A0"/>
    <w:rsid w:val="005544CE"/>
    <w:rsid w:val="005565DA"/>
    <w:rsid w:val="00567072"/>
    <w:rsid w:val="00567632"/>
    <w:rsid w:val="00576D68"/>
    <w:rsid w:val="0058700C"/>
    <w:rsid w:val="00590AF4"/>
    <w:rsid w:val="005A0611"/>
    <w:rsid w:val="005B6214"/>
    <w:rsid w:val="005C2EAA"/>
    <w:rsid w:val="005C7BCE"/>
    <w:rsid w:val="005D1B3A"/>
    <w:rsid w:val="005D1B8D"/>
    <w:rsid w:val="005D4246"/>
    <w:rsid w:val="005D47EC"/>
    <w:rsid w:val="005E0F10"/>
    <w:rsid w:val="005E302E"/>
    <w:rsid w:val="005F2390"/>
    <w:rsid w:val="005F3A3E"/>
    <w:rsid w:val="005F55D8"/>
    <w:rsid w:val="005F62D2"/>
    <w:rsid w:val="005F7184"/>
    <w:rsid w:val="0060780D"/>
    <w:rsid w:val="00607ADC"/>
    <w:rsid w:val="00610692"/>
    <w:rsid w:val="006170A7"/>
    <w:rsid w:val="00625C54"/>
    <w:rsid w:val="006315DD"/>
    <w:rsid w:val="00634C57"/>
    <w:rsid w:val="00655A8E"/>
    <w:rsid w:val="0066782D"/>
    <w:rsid w:val="00671C25"/>
    <w:rsid w:val="0067752F"/>
    <w:rsid w:val="006868D2"/>
    <w:rsid w:val="00693517"/>
    <w:rsid w:val="00694A11"/>
    <w:rsid w:val="006A1EBD"/>
    <w:rsid w:val="006A5C48"/>
    <w:rsid w:val="006B2CE5"/>
    <w:rsid w:val="006B6865"/>
    <w:rsid w:val="006C526B"/>
    <w:rsid w:val="006C7418"/>
    <w:rsid w:val="006D6BE1"/>
    <w:rsid w:val="006E165A"/>
    <w:rsid w:val="006E33B1"/>
    <w:rsid w:val="006E6515"/>
    <w:rsid w:val="006F3D17"/>
    <w:rsid w:val="006F606F"/>
    <w:rsid w:val="0070743B"/>
    <w:rsid w:val="00713730"/>
    <w:rsid w:val="0071579E"/>
    <w:rsid w:val="007176DC"/>
    <w:rsid w:val="0072667E"/>
    <w:rsid w:val="00732A77"/>
    <w:rsid w:val="00733421"/>
    <w:rsid w:val="00736BB2"/>
    <w:rsid w:val="00737615"/>
    <w:rsid w:val="007379F6"/>
    <w:rsid w:val="00753192"/>
    <w:rsid w:val="007575B1"/>
    <w:rsid w:val="00762C67"/>
    <w:rsid w:val="00770470"/>
    <w:rsid w:val="007734F1"/>
    <w:rsid w:val="00773DF0"/>
    <w:rsid w:val="00785740"/>
    <w:rsid w:val="007A23D7"/>
    <w:rsid w:val="007C18F5"/>
    <w:rsid w:val="007C7360"/>
    <w:rsid w:val="007D1953"/>
    <w:rsid w:val="007E1356"/>
    <w:rsid w:val="007E30A5"/>
    <w:rsid w:val="007E5A9D"/>
    <w:rsid w:val="007F2963"/>
    <w:rsid w:val="007F7A82"/>
    <w:rsid w:val="0080754A"/>
    <w:rsid w:val="008104D2"/>
    <w:rsid w:val="00813F97"/>
    <w:rsid w:val="00815089"/>
    <w:rsid w:val="0081555A"/>
    <w:rsid w:val="00815770"/>
    <w:rsid w:val="008161D5"/>
    <w:rsid w:val="0081758B"/>
    <w:rsid w:val="00820F6D"/>
    <w:rsid w:val="008343E4"/>
    <w:rsid w:val="00834BD8"/>
    <w:rsid w:val="00842C9D"/>
    <w:rsid w:val="00844D83"/>
    <w:rsid w:val="008459E4"/>
    <w:rsid w:val="00845C2D"/>
    <w:rsid w:val="0086341C"/>
    <w:rsid w:val="00866402"/>
    <w:rsid w:val="00873082"/>
    <w:rsid w:val="00875442"/>
    <w:rsid w:val="008823C7"/>
    <w:rsid w:val="00885E9C"/>
    <w:rsid w:val="00890752"/>
    <w:rsid w:val="008B285C"/>
    <w:rsid w:val="008B5C47"/>
    <w:rsid w:val="008B5E96"/>
    <w:rsid w:val="008C1B7C"/>
    <w:rsid w:val="008C3667"/>
    <w:rsid w:val="008C6A4A"/>
    <w:rsid w:val="008E3232"/>
    <w:rsid w:val="008F0777"/>
    <w:rsid w:val="008F2D12"/>
    <w:rsid w:val="009049E8"/>
    <w:rsid w:val="00906480"/>
    <w:rsid w:val="00914134"/>
    <w:rsid w:val="00915DB2"/>
    <w:rsid w:val="00916A21"/>
    <w:rsid w:val="00922AE3"/>
    <w:rsid w:val="00927EB0"/>
    <w:rsid w:val="0093304A"/>
    <w:rsid w:val="009365F9"/>
    <w:rsid w:val="009372C4"/>
    <w:rsid w:val="0094146B"/>
    <w:rsid w:val="00942AF9"/>
    <w:rsid w:val="00950777"/>
    <w:rsid w:val="009600D3"/>
    <w:rsid w:val="009604C1"/>
    <w:rsid w:val="00961978"/>
    <w:rsid w:val="0096521F"/>
    <w:rsid w:val="00972385"/>
    <w:rsid w:val="0097584A"/>
    <w:rsid w:val="009819E5"/>
    <w:rsid w:val="00986EA9"/>
    <w:rsid w:val="009877CE"/>
    <w:rsid w:val="00991811"/>
    <w:rsid w:val="00992866"/>
    <w:rsid w:val="009B6BBE"/>
    <w:rsid w:val="009C0581"/>
    <w:rsid w:val="009C1BF4"/>
    <w:rsid w:val="009C4597"/>
    <w:rsid w:val="009C644C"/>
    <w:rsid w:val="009D1269"/>
    <w:rsid w:val="009D1673"/>
    <w:rsid w:val="009D5DBF"/>
    <w:rsid w:val="009D7A31"/>
    <w:rsid w:val="009F6DC6"/>
    <w:rsid w:val="00A04B6D"/>
    <w:rsid w:val="00A05BB2"/>
    <w:rsid w:val="00A06C43"/>
    <w:rsid w:val="00A164F7"/>
    <w:rsid w:val="00A23F9A"/>
    <w:rsid w:val="00A3140E"/>
    <w:rsid w:val="00A33C86"/>
    <w:rsid w:val="00A420E2"/>
    <w:rsid w:val="00A44D7B"/>
    <w:rsid w:val="00A47287"/>
    <w:rsid w:val="00A53527"/>
    <w:rsid w:val="00A5566B"/>
    <w:rsid w:val="00A608F6"/>
    <w:rsid w:val="00A6515F"/>
    <w:rsid w:val="00A826F3"/>
    <w:rsid w:val="00A944F1"/>
    <w:rsid w:val="00A95A3D"/>
    <w:rsid w:val="00AA2553"/>
    <w:rsid w:val="00AA5097"/>
    <w:rsid w:val="00AA6890"/>
    <w:rsid w:val="00AA7EEE"/>
    <w:rsid w:val="00AB38FD"/>
    <w:rsid w:val="00AB3D24"/>
    <w:rsid w:val="00AB52AF"/>
    <w:rsid w:val="00AB56EC"/>
    <w:rsid w:val="00AC4EF0"/>
    <w:rsid w:val="00AD07BD"/>
    <w:rsid w:val="00AD58D0"/>
    <w:rsid w:val="00AD795C"/>
    <w:rsid w:val="00AF68AB"/>
    <w:rsid w:val="00B03BAD"/>
    <w:rsid w:val="00B04D6F"/>
    <w:rsid w:val="00B22CEC"/>
    <w:rsid w:val="00B25E2E"/>
    <w:rsid w:val="00B26983"/>
    <w:rsid w:val="00B310E4"/>
    <w:rsid w:val="00B41BCF"/>
    <w:rsid w:val="00B442FD"/>
    <w:rsid w:val="00B46BB4"/>
    <w:rsid w:val="00B47E0C"/>
    <w:rsid w:val="00B50029"/>
    <w:rsid w:val="00B515EC"/>
    <w:rsid w:val="00B53735"/>
    <w:rsid w:val="00B53E82"/>
    <w:rsid w:val="00B61CDB"/>
    <w:rsid w:val="00B73952"/>
    <w:rsid w:val="00B91A25"/>
    <w:rsid w:val="00B92420"/>
    <w:rsid w:val="00BA2513"/>
    <w:rsid w:val="00BB37C7"/>
    <w:rsid w:val="00BB78BF"/>
    <w:rsid w:val="00BC3EAC"/>
    <w:rsid w:val="00BC45BC"/>
    <w:rsid w:val="00BD199F"/>
    <w:rsid w:val="00BD602E"/>
    <w:rsid w:val="00BE42E3"/>
    <w:rsid w:val="00BF0160"/>
    <w:rsid w:val="00BF58FC"/>
    <w:rsid w:val="00C012AB"/>
    <w:rsid w:val="00C0223F"/>
    <w:rsid w:val="00C0290B"/>
    <w:rsid w:val="00C05BF9"/>
    <w:rsid w:val="00C135BB"/>
    <w:rsid w:val="00C17D73"/>
    <w:rsid w:val="00C2325D"/>
    <w:rsid w:val="00C31E57"/>
    <w:rsid w:val="00C32401"/>
    <w:rsid w:val="00C36BF0"/>
    <w:rsid w:val="00C4060B"/>
    <w:rsid w:val="00C40A9B"/>
    <w:rsid w:val="00C73A3C"/>
    <w:rsid w:val="00C75CE9"/>
    <w:rsid w:val="00C82181"/>
    <w:rsid w:val="00C8309E"/>
    <w:rsid w:val="00C83180"/>
    <w:rsid w:val="00C86677"/>
    <w:rsid w:val="00CA3089"/>
    <w:rsid w:val="00CA3AE6"/>
    <w:rsid w:val="00CA5555"/>
    <w:rsid w:val="00CA6071"/>
    <w:rsid w:val="00CA6B95"/>
    <w:rsid w:val="00CB2202"/>
    <w:rsid w:val="00CC1DA8"/>
    <w:rsid w:val="00CC1E1A"/>
    <w:rsid w:val="00CD30EC"/>
    <w:rsid w:val="00CE0842"/>
    <w:rsid w:val="00CE719D"/>
    <w:rsid w:val="00CF13AE"/>
    <w:rsid w:val="00CF562B"/>
    <w:rsid w:val="00D10A4E"/>
    <w:rsid w:val="00D11F84"/>
    <w:rsid w:val="00D1230B"/>
    <w:rsid w:val="00D216D4"/>
    <w:rsid w:val="00D21F58"/>
    <w:rsid w:val="00D234BB"/>
    <w:rsid w:val="00D25A06"/>
    <w:rsid w:val="00D318D8"/>
    <w:rsid w:val="00D52B0C"/>
    <w:rsid w:val="00D61571"/>
    <w:rsid w:val="00D61B53"/>
    <w:rsid w:val="00D63340"/>
    <w:rsid w:val="00D6426F"/>
    <w:rsid w:val="00D861AA"/>
    <w:rsid w:val="00D94AB5"/>
    <w:rsid w:val="00DB2D91"/>
    <w:rsid w:val="00DD16BC"/>
    <w:rsid w:val="00DD71B4"/>
    <w:rsid w:val="00DE6167"/>
    <w:rsid w:val="00DF12FF"/>
    <w:rsid w:val="00DF1754"/>
    <w:rsid w:val="00DF32E5"/>
    <w:rsid w:val="00DF7EDA"/>
    <w:rsid w:val="00E02D20"/>
    <w:rsid w:val="00E02F92"/>
    <w:rsid w:val="00E0549E"/>
    <w:rsid w:val="00E065AF"/>
    <w:rsid w:val="00E070EF"/>
    <w:rsid w:val="00E16C23"/>
    <w:rsid w:val="00E21603"/>
    <w:rsid w:val="00E30F4D"/>
    <w:rsid w:val="00E31BA9"/>
    <w:rsid w:val="00E32F83"/>
    <w:rsid w:val="00E332D9"/>
    <w:rsid w:val="00E401C6"/>
    <w:rsid w:val="00E44D05"/>
    <w:rsid w:val="00E51C4B"/>
    <w:rsid w:val="00E53C5C"/>
    <w:rsid w:val="00E64147"/>
    <w:rsid w:val="00E65147"/>
    <w:rsid w:val="00E756DA"/>
    <w:rsid w:val="00E80AF9"/>
    <w:rsid w:val="00EA1AAF"/>
    <w:rsid w:val="00EB0421"/>
    <w:rsid w:val="00EB0CFF"/>
    <w:rsid w:val="00EB4583"/>
    <w:rsid w:val="00EC5DDE"/>
    <w:rsid w:val="00EE05DC"/>
    <w:rsid w:val="00EE604F"/>
    <w:rsid w:val="00EF0337"/>
    <w:rsid w:val="00F10676"/>
    <w:rsid w:val="00F42E3D"/>
    <w:rsid w:val="00F5610F"/>
    <w:rsid w:val="00F56C39"/>
    <w:rsid w:val="00F60099"/>
    <w:rsid w:val="00F60329"/>
    <w:rsid w:val="00F732BD"/>
    <w:rsid w:val="00F779BD"/>
    <w:rsid w:val="00F81F9A"/>
    <w:rsid w:val="00F9645B"/>
    <w:rsid w:val="00FA189D"/>
    <w:rsid w:val="00FA2C9C"/>
    <w:rsid w:val="00FB1637"/>
    <w:rsid w:val="00FB57FD"/>
    <w:rsid w:val="00FB7E3F"/>
    <w:rsid w:val="00FD14C2"/>
    <w:rsid w:val="00FD53CA"/>
    <w:rsid w:val="00FE1B53"/>
    <w:rsid w:val="00FE33B1"/>
    <w:rsid w:val="00FE7B09"/>
    <w:rsid w:val="00FF2DF8"/>
    <w:rsid w:val="00FF31B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4F79F-C7EC-4575-87F5-EFBFB5DC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autoRedefine/>
    <w:rsid w:val="00D25A06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">
    <w:name w:val="ConsNormal"/>
    <w:rsid w:val="00845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FF77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table" w:styleId="a4">
    <w:name w:val="Table Grid"/>
    <w:basedOn w:val="a1"/>
    <w:rsid w:val="009604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60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locked/>
    <w:rsid w:val="009604C1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EE05D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EE05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EE05DC"/>
    <w:rPr>
      <w:lang w:val="ru-RU" w:eastAsia="ru-RU" w:bidi="ar-SA"/>
    </w:rPr>
  </w:style>
  <w:style w:type="character" w:styleId="a9">
    <w:name w:val="footnote reference"/>
    <w:semiHidden/>
    <w:rsid w:val="00EE05DC"/>
    <w:rPr>
      <w:rFonts w:cs="Times New Roman"/>
      <w:vertAlign w:val="superscript"/>
    </w:rPr>
  </w:style>
  <w:style w:type="paragraph" w:styleId="aa">
    <w:name w:val="Normal (Web)"/>
    <w:basedOn w:val="a"/>
    <w:rsid w:val="00EE0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ndnote reference"/>
    <w:rsid w:val="00315C58"/>
    <w:rPr>
      <w:vertAlign w:val="superscript"/>
    </w:rPr>
  </w:style>
  <w:style w:type="paragraph" w:styleId="ac">
    <w:name w:val="Balloon Text"/>
    <w:basedOn w:val="a"/>
    <w:semiHidden/>
    <w:rsid w:val="00EE604F"/>
    <w:rPr>
      <w:rFonts w:ascii="Tahoma" w:hAnsi="Tahoma" w:cs="Tahoma"/>
      <w:sz w:val="16"/>
      <w:szCs w:val="16"/>
    </w:rPr>
  </w:style>
  <w:style w:type="paragraph" w:styleId="ad">
    <w:name w:val="List Paragraph"/>
    <w:aliases w:val="ПАРАГРАФ,Абзац списка для документа,Абзац списка основной,Текст с номером,Варианты ответов,Абзац списка1"/>
    <w:basedOn w:val="a"/>
    <w:link w:val="ae"/>
    <w:uiPriority w:val="34"/>
    <w:qFormat/>
    <w:rsid w:val="001E5C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"/>
    <w:link w:val="ad"/>
    <w:uiPriority w:val="34"/>
    <w:locked/>
    <w:rsid w:val="001E5C76"/>
    <w:rPr>
      <w:sz w:val="24"/>
      <w:szCs w:val="24"/>
    </w:rPr>
  </w:style>
  <w:style w:type="paragraph" w:customStyle="1" w:styleId="10">
    <w:name w:val="Обычный (веб)1"/>
    <w:aliases w:val="Обычный (Web),Обычный (веб) Знак,Обычный (Web) Знак Знак,Обычный (веб) Знак Знак,Обычный (Web) Знак1 Знак,Обычный (Web) Знак Знак Знак, Знак Знак Знак1,Обычный (веб) Знак1,Знак Знак Знак1 Знак,Знак Знак, Знак Знак Знак Знак"/>
    <w:basedOn w:val="a"/>
    <w:uiPriority w:val="99"/>
    <w:qFormat/>
    <w:rsid w:val="001C5E5A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">
    <w:name w:val="Основа"/>
    <w:basedOn w:val="a"/>
    <w:link w:val="af0"/>
    <w:rsid w:val="001C5E5A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а Знак"/>
    <w:link w:val="af"/>
    <w:rsid w:val="001C5E5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MoBIL GROUP</Company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Павлусь</dc:creator>
  <cp:keywords/>
  <cp:lastModifiedBy>Светлана Чумадевская</cp:lastModifiedBy>
  <cp:revision>6</cp:revision>
  <cp:lastPrinted>2016-05-18T04:23:00Z</cp:lastPrinted>
  <dcterms:created xsi:type="dcterms:W3CDTF">2024-10-28T02:38:00Z</dcterms:created>
  <dcterms:modified xsi:type="dcterms:W3CDTF">2024-10-29T08:25:00Z</dcterms:modified>
</cp:coreProperties>
</file>