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БУРЛИНСКИЙ 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471688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C2CB1"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5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</w:t>
      </w:r>
      <w:r w:rsidR="005C2CB1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.  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   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</w:t>
      </w:r>
      <w:r w:rsidR="00962A4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</w:t>
      </w:r>
      <w:r w:rsidR="006E6515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№ </w:t>
      </w:r>
      <w:r w:rsidR="001260C3">
        <w:rPr>
          <w:rFonts w:ascii="Times New Roman" w:eastAsia="Times New Roman" w:hAnsi="Times New Roman"/>
          <w:sz w:val="26"/>
          <w:szCs w:val="28"/>
          <w:lang w:eastAsia="ru-RU"/>
        </w:rPr>
        <w:t>27</w:t>
      </w:r>
      <w:bookmarkStart w:id="0" w:name="_GoBack"/>
      <w:bookmarkEnd w:id="0"/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реализации 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Стратегии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социально-экономического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Бурлинский район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Алтайского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края на период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 20</w:t>
      </w:r>
      <w:r w:rsidR="005C2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2</w:t>
      </w:r>
      <w:r w:rsidR="004716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024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4716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70743B" w:rsidRDefault="0070743B" w:rsidP="00471688">
      <w:pPr>
        <w:tabs>
          <w:tab w:val="left" w:pos="3040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отчет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</w:t>
      </w:r>
      <w:r w:rsidR="005C2CB1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ального образования Бурлинский 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район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20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7168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47168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, районный Совет народных депутатов</w:t>
      </w:r>
    </w:p>
    <w:p w:rsidR="0070743B" w:rsidRPr="0070743B" w:rsidRDefault="0070743B" w:rsidP="0047168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70743B" w:rsidRDefault="0070743B" w:rsidP="00471688">
      <w:pPr>
        <w:suppressAutoHyphens/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1. Отчет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Бурлинский район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47168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24A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47168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 (прилагается).</w:t>
      </w:r>
    </w:p>
    <w:p w:rsidR="00471688" w:rsidRPr="00471688" w:rsidRDefault="00471688" w:rsidP="00471688">
      <w:pPr>
        <w:widowControl w:val="0"/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716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Настоящее решение опубликовать в сетевом издании «Официальный сайт муниципального образования Бурлинский район Алтайского края».</w:t>
      </w: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330B6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Бурлинского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народных депутатов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 w:rsidR="005835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Е.А. Головенко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1688" w:rsidRPr="008343E4" w:rsidRDefault="0070743B" w:rsidP="00471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471688" w:rsidRPr="00D234BB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71688" w:rsidRPr="008343E4">
        <w:rPr>
          <w:rFonts w:ascii="Times New Roman" w:hAnsi="Times New Roman"/>
          <w:b/>
          <w:sz w:val="28"/>
          <w:szCs w:val="28"/>
        </w:rPr>
        <w:t>О Т Ч Ё Т</w:t>
      </w:r>
    </w:p>
    <w:p w:rsidR="00471688" w:rsidRPr="008343E4" w:rsidRDefault="00471688" w:rsidP="00471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>о реализации Стратегии социально-экономического</w:t>
      </w:r>
    </w:p>
    <w:p w:rsidR="00471688" w:rsidRPr="008343E4" w:rsidRDefault="00471688" w:rsidP="00471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  <w:smartTag w:uri="urn:schemas-microsoft-com:office:smarttags" w:element="PersonName">
        <w:r w:rsidRPr="008343E4">
          <w:rPr>
            <w:rFonts w:ascii="Times New Roman" w:hAnsi="Times New Roman"/>
            <w:b/>
            <w:sz w:val="28"/>
            <w:szCs w:val="28"/>
          </w:rPr>
          <w:t>Бурлинский район</w:t>
        </w:r>
      </w:smartTag>
      <w:r w:rsidRPr="008343E4">
        <w:rPr>
          <w:rFonts w:ascii="Times New Roman" w:hAnsi="Times New Roman"/>
          <w:b/>
          <w:sz w:val="28"/>
          <w:szCs w:val="28"/>
        </w:rPr>
        <w:t xml:space="preserve"> </w:t>
      </w:r>
    </w:p>
    <w:p w:rsidR="00471688" w:rsidRPr="008343E4" w:rsidRDefault="00471688" w:rsidP="00471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Алтайского края на период до 2035 года в </w:t>
      </w:r>
      <w:r>
        <w:rPr>
          <w:rFonts w:ascii="Times New Roman" w:hAnsi="Times New Roman"/>
          <w:b/>
          <w:sz w:val="28"/>
          <w:szCs w:val="28"/>
        </w:rPr>
        <w:t>2024 году</w:t>
      </w:r>
    </w:p>
    <w:p w:rsidR="00471688" w:rsidRPr="00D234BB" w:rsidRDefault="00471688" w:rsidP="0047168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Основными принципами, заложенными в Стратегию социально-экономического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09F2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420E2">
        <w:rPr>
          <w:rFonts w:ascii="Times New Roman" w:hAnsi="Times New Roman"/>
          <w:sz w:val="26"/>
          <w:szCs w:val="26"/>
        </w:rPr>
        <w:t xml:space="preserve">Стратегия социально-экономического развития Бурлинского района </w:t>
      </w:r>
      <w:r>
        <w:rPr>
          <w:rFonts w:ascii="Times New Roman" w:hAnsi="Times New Roman"/>
          <w:sz w:val="26"/>
          <w:szCs w:val="26"/>
        </w:rPr>
        <w:t xml:space="preserve">                 принята</w:t>
      </w:r>
      <w:r w:rsidRPr="00A420E2">
        <w:rPr>
          <w:rFonts w:ascii="Times New Roman" w:hAnsi="Times New Roman"/>
          <w:sz w:val="26"/>
          <w:szCs w:val="26"/>
        </w:rPr>
        <w:t xml:space="preserve"> решением районного Совета народных депутатов от 17.12.2019г.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20E2">
        <w:rPr>
          <w:rFonts w:ascii="Times New Roman" w:hAnsi="Times New Roman"/>
          <w:sz w:val="26"/>
          <w:szCs w:val="26"/>
        </w:rPr>
        <w:t>№ 40</w:t>
      </w:r>
      <w:r>
        <w:rPr>
          <w:rFonts w:ascii="Times New Roman" w:hAnsi="Times New Roman"/>
          <w:sz w:val="26"/>
          <w:szCs w:val="26"/>
        </w:rPr>
        <w:t>) являются:</w:t>
      </w:r>
    </w:p>
    <w:p w:rsidR="00471688" w:rsidRPr="009C09F2" w:rsidRDefault="00471688" w:rsidP="00777318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1) усиление конкурентоспособности районной социально-экономической системы и всей системы управления за счет ее последовательной модернизации. Приоритеты стратегического развития Бурлинского района заключаются в преодолении технологической отсталости, широкомасштабном обновлении как производственной, так и социальной сферы;</w:t>
      </w:r>
    </w:p>
    <w:p w:rsidR="00471688" w:rsidRPr="009C09F2" w:rsidRDefault="00471688" w:rsidP="00777318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2)  усиление социальной направленности всех управленческих решений</w:t>
      </w:r>
      <w:r w:rsidR="00777318">
        <w:rPr>
          <w:rFonts w:ascii="Times New Roman" w:hAnsi="Times New Roman"/>
          <w:sz w:val="26"/>
          <w:szCs w:val="26"/>
        </w:rPr>
        <w:t>,</w:t>
      </w:r>
      <w:r w:rsidRPr="009C09F2">
        <w:rPr>
          <w:rFonts w:ascii="Times New Roman" w:hAnsi="Times New Roman"/>
          <w:sz w:val="26"/>
          <w:szCs w:val="26"/>
        </w:rPr>
        <w:t xml:space="preserve"> и активная политика по формированию «среднего класса», повышению степени социальной защищенности граждан Бурлинского района. Социальная направленность Стратегии должна найти отражение в определении конкретных направлений деятельности органов исполнительной власти Бурлинского района, ориентированных на устранение ключевых проблем в жизнедеятельности населения и мобилизацию всех располагаемых ресурсов для эффективного решения задач социального развития;</w:t>
      </w:r>
    </w:p>
    <w:p w:rsidR="00471688" w:rsidRPr="009C09F2" w:rsidRDefault="00471688" w:rsidP="00777318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3) более широкое использование принципа государственно-частного партнерства и социальной ответственности бизнеса. Корпоративная социальная ответственность должна опираться на инвестиции, имеющие социальную направленность, и на социально ответственное поведение, что является взаимовыгодным как для компании, так и для общества;</w:t>
      </w:r>
    </w:p>
    <w:p w:rsidR="00471688" w:rsidRDefault="00471688" w:rsidP="00777318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4) обеспечение согласованности с документами долгосрочного развития Алтайского края, с системой мероприятий органов государственной власти Алтайского края.</w:t>
      </w:r>
    </w:p>
    <w:p w:rsidR="00471688" w:rsidRPr="009C09F2" w:rsidRDefault="00471688" w:rsidP="00777318">
      <w:pPr>
        <w:tabs>
          <w:tab w:val="num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Бурлинский район имеет достаточно хорошие стартовые условия для устойчивого развития. </w:t>
      </w:r>
    </w:p>
    <w:p w:rsidR="00471688" w:rsidRPr="009C09F2" w:rsidRDefault="00471688" w:rsidP="00777318">
      <w:pPr>
        <w:suppressAutoHyphens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Стратегический анализ позволяет выделить ряд конкурентных преимуществ района, создающих условия для его социально-экономического развития: </w:t>
      </w:r>
    </w:p>
    <w:p w:rsidR="00471688" w:rsidRPr="009C09F2" w:rsidRDefault="00471688" w:rsidP="00777318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Выгодное географическое расположение в Алтайском крае на пересечении важнейших коммуникаций (железнодорожных, автомобильных); </w:t>
      </w:r>
    </w:p>
    <w:p w:rsidR="00471688" w:rsidRPr="009C09F2" w:rsidRDefault="00471688" w:rsidP="00777318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Высокий рекреационный потенциал;</w:t>
      </w:r>
    </w:p>
    <w:p w:rsidR="00471688" w:rsidRPr="009C09F2" w:rsidRDefault="00471688" w:rsidP="00777318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Возможности развития туризма;</w:t>
      </w:r>
    </w:p>
    <w:p w:rsidR="00471688" w:rsidRPr="009C09F2" w:rsidRDefault="00471688" w:rsidP="00777318">
      <w:pPr>
        <w:numPr>
          <w:ilvl w:val="0"/>
          <w:numId w:val="11"/>
        </w:numPr>
        <w:tabs>
          <w:tab w:val="clear" w:pos="1503"/>
          <w:tab w:val="num" w:pos="360"/>
          <w:tab w:val="left" w:pos="1050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 Стабильная деятельность потребительского рынка.</w:t>
      </w:r>
    </w:p>
    <w:p w:rsidR="00471688" w:rsidRPr="009C09F2" w:rsidRDefault="00471688" w:rsidP="00777318">
      <w:pPr>
        <w:pStyle w:val="12"/>
        <w:suppressAutoHyphens/>
        <w:spacing w:before="0"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 целом в Бурлинском районе содержится значительный потенциал для успешного развития. Район готов к формированию системы</w:t>
      </w:r>
      <w:r w:rsidR="00777318">
        <w:rPr>
          <w:rFonts w:ascii="Times New Roman" w:hAnsi="Times New Roman"/>
          <w:sz w:val="26"/>
          <w:szCs w:val="26"/>
        </w:rPr>
        <w:t xml:space="preserve"> </w:t>
      </w:r>
      <w:r w:rsidRPr="009C09F2">
        <w:rPr>
          <w:rFonts w:ascii="Times New Roman" w:hAnsi="Times New Roman"/>
          <w:sz w:val="26"/>
          <w:szCs w:val="26"/>
        </w:rPr>
        <w:t xml:space="preserve">инвестиционной, экономической, социальной и гражданской политики в обеспечении высокого качества жизни населения, </w:t>
      </w:r>
      <w:bookmarkStart w:id="1" w:name="_Toc190229831"/>
      <w:bookmarkStart w:id="2" w:name="_Toc190229995"/>
      <w:bookmarkStart w:id="3" w:name="_Toc190230588"/>
      <w:bookmarkStart w:id="4" w:name="_Toc190230721"/>
      <w:bookmarkStart w:id="5" w:name="_Toc190234859"/>
      <w:bookmarkEnd w:id="1"/>
      <w:bookmarkEnd w:id="2"/>
      <w:bookmarkEnd w:id="3"/>
      <w:bookmarkEnd w:id="4"/>
      <w:bookmarkEnd w:id="5"/>
      <w:r w:rsidRPr="009C09F2">
        <w:rPr>
          <w:rFonts w:ascii="Times New Roman" w:hAnsi="Times New Roman"/>
          <w:sz w:val="26"/>
          <w:szCs w:val="26"/>
        </w:rPr>
        <w:t>отвечающей требованиям сегодняшнего времени.</w:t>
      </w:r>
    </w:p>
    <w:p w:rsidR="00471688" w:rsidRPr="009C09F2" w:rsidRDefault="00471688" w:rsidP="00777318">
      <w:pPr>
        <w:pStyle w:val="af"/>
        <w:suppressAutoHyphens/>
        <w:spacing w:before="0" w:line="240" w:lineRule="auto"/>
        <w:ind w:firstLine="684"/>
        <w:rPr>
          <w:sz w:val="26"/>
          <w:szCs w:val="26"/>
        </w:rPr>
      </w:pPr>
      <w:r>
        <w:rPr>
          <w:b/>
          <w:color w:val="000000"/>
          <w:sz w:val="26"/>
          <w:szCs w:val="26"/>
          <w:lang w:val="ru-RU"/>
        </w:rPr>
        <w:t>Целью</w:t>
      </w:r>
      <w:r w:rsidRPr="009C09F2">
        <w:rPr>
          <w:b/>
          <w:color w:val="000000"/>
          <w:sz w:val="26"/>
          <w:szCs w:val="26"/>
        </w:rPr>
        <w:t xml:space="preserve"> Стратеги</w:t>
      </w:r>
      <w:r>
        <w:rPr>
          <w:b/>
          <w:color w:val="000000"/>
          <w:sz w:val="26"/>
          <w:szCs w:val="26"/>
        </w:rPr>
        <w:t>ческого социально-экономического развития муниципального образования Бурлинский район Алтайского края</w:t>
      </w:r>
      <w:r w:rsidRPr="009C09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является - </w:t>
      </w:r>
      <w:r w:rsidRPr="009C09F2">
        <w:rPr>
          <w:color w:val="000000"/>
          <w:sz w:val="26"/>
          <w:szCs w:val="26"/>
        </w:rPr>
        <w:t>формирование благоприятной социальной среды, создающей условия для комфортного проживания,</w:t>
      </w:r>
      <w:r w:rsidRPr="009C09F2">
        <w:rPr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9C09F2">
        <w:rPr>
          <w:color w:val="000000"/>
          <w:sz w:val="26"/>
          <w:szCs w:val="26"/>
        </w:rPr>
        <w:t xml:space="preserve"> населения.</w:t>
      </w:r>
    </w:p>
    <w:p w:rsidR="00471688" w:rsidRPr="009C09F2" w:rsidRDefault="00471688" w:rsidP="00777318">
      <w:pPr>
        <w:tabs>
          <w:tab w:val="left" w:pos="1080"/>
        </w:tabs>
        <w:suppressAutoHyphens/>
        <w:spacing w:after="0" w:line="240" w:lineRule="auto"/>
        <w:ind w:firstLineChars="240" w:firstLine="624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C09F2">
        <w:rPr>
          <w:rFonts w:ascii="Times New Roman" w:hAnsi="Times New Roman"/>
          <w:color w:val="000000"/>
          <w:sz w:val="26"/>
          <w:szCs w:val="26"/>
        </w:rPr>
        <w:t>Реализация цел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9C09F2">
        <w:rPr>
          <w:rFonts w:ascii="Times New Roman" w:hAnsi="Times New Roman"/>
          <w:color w:val="000000"/>
          <w:sz w:val="26"/>
          <w:szCs w:val="26"/>
        </w:rPr>
        <w:t xml:space="preserve"> предполагает</w:t>
      </w:r>
      <w:r w:rsidRPr="009C09F2">
        <w:rPr>
          <w:rFonts w:ascii="Times New Roman" w:hAnsi="Times New Roman"/>
          <w:color w:val="000000"/>
          <w:spacing w:val="-6"/>
          <w:sz w:val="26"/>
          <w:szCs w:val="26"/>
        </w:rPr>
        <w:t xml:space="preserve"> решение следующих задач: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развитие Бурлинского района как социально ориентированной территории;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устойчивое функционирование и развитие инфраструктуры и систем </w:t>
      </w:r>
      <w:r w:rsidRPr="009C09F2">
        <w:rPr>
          <w:rFonts w:ascii="Times New Roman" w:hAnsi="Times New Roman"/>
          <w:sz w:val="26"/>
          <w:szCs w:val="26"/>
        </w:rPr>
        <w:lastRenderedPageBreak/>
        <w:t xml:space="preserve">жизнеобеспечения муниципального образования, позволяющее сформировать здоровую, безопасную, благоустроенную и стимулирующую среду обитания; 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9C09F2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Pr="009C09F2">
        <w:rPr>
          <w:rFonts w:ascii="Times New Roman" w:hAnsi="Times New Roman"/>
          <w:spacing w:val="-6"/>
          <w:sz w:val="26"/>
          <w:szCs w:val="26"/>
        </w:rPr>
        <w:t>создание организационно-экономических условий для развития промышленности;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создание условий для развития малого и среднего предпринимательства, формирование необходимой инфраструктуры;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обеспечение благоприятного инвестиционного климата, формирование механизмов привлечения инвестиций и стимулирования инвестиционной деятельности на терри</w:t>
      </w:r>
      <w:r w:rsidR="00777318">
        <w:rPr>
          <w:rFonts w:ascii="Times New Roman" w:hAnsi="Times New Roman"/>
          <w:sz w:val="26"/>
          <w:szCs w:val="26"/>
        </w:rPr>
        <w:t xml:space="preserve">тории </w:t>
      </w:r>
      <w:r w:rsidRPr="009C09F2">
        <w:rPr>
          <w:rFonts w:ascii="Times New Roman" w:hAnsi="Times New Roman"/>
          <w:sz w:val="26"/>
          <w:szCs w:val="26"/>
        </w:rPr>
        <w:t xml:space="preserve">Бурлинского района; </w:t>
      </w:r>
    </w:p>
    <w:p w:rsidR="00471688" w:rsidRPr="009C09F2" w:rsidRDefault="00471688" w:rsidP="007773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C09F2">
        <w:rPr>
          <w:rFonts w:ascii="Times New Roman" w:hAnsi="Times New Roman"/>
          <w:bCs/>
          <w:sz w:val="26"/>
          <w:szCs w:val="26"/>
        </w:rPr>
        <w:t>обеспечение эффективного взаимодействия государства, бизнеса, образования и науки в процессе развития приоритетных секторов экономики, а также</w:t>
      </w:r>
      <w:r w:rsidRPr="009C09F2">
        <w:rPr>
          <w:rFonts w:ascii="Times New Roman" w:hAnsi="Times New Roman"/>
          <w:sz w:val="26"/>
          <w:szCs w:val="26"/>
        </w:rPr>
        <w:t xml:space="preserve"> развитие институтов гражданского общества и участия граждан в принятии решений и реализации программ социального, экономического, культурного и общественного развития района как значимого условия обеспечения качества жизни населения.</w:t>
      </w:r>
    </w:p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sub_801"/>
      <w:r w:rsidRPr="009C09F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соответствии с вышеназванными задачами можно </w:t>
      </w:r>
      <w:r w:rsidRPr="009C09F2">
        <w:rPr>
          <w:rFonts w:ascii="Times New Roman" w:hAnsi="Times New Roman"/>
          <w:sz w:val="26"/>
          <w:szCs w:val="26"/>
        </w:rPr>
        <w:t>структурно выдел</w:t>
      </w:r>
      <w:r>
        <w:rPr>
          <w:rFonts w:ascii="Times New Roman" w:hAnsi="Times New Roman"/>
          <w:sz w:val="26"/>
          <w:szCs w:val="26"/>
        </w:rPr>
        <w:t>ить</w:t>
      </w:r>
      <w:r w:rsidRPr="009C09F2">
        <w:rPr>
          <w:rFonts w:ascii="Times New Roman" w:hAnsi="Times New Roman"/>
          <w:sz w:val="26"/>
          <w:szCs w:val="26"/>
        </w:rPr>
        <w:t xml:space="preserve"> три блока целей, соответствующих целям долгосрочного социально-экономического развития Бурлинского района:</w:t>
      </w:r>
    </w:p>
    <w:bookmarkEnd w:id="6"/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достижение высокого уровня и качества жизни населения;</w:t>
      </w:r>
    </w:p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создание условий для устойчивого экономического роста;</w:t>
      </w:r>
    </w:p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развитая инфраструктура;</w:t>
      </w:r>
    </w:p>
    <w:p w:rsidR="00471688" w:rsidRPr="009C09F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повышение эффективности управления.</w:t>
      </w:r>
    </w:p>
    <w:p w:rsidR="00471688" w:rsidRPr="00A420E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Отчет о реализации Стратегии в </w:t>
      </w:r>
      <w:r>
        <w:rPr>
          <w:rFonts w:ascii="Times New Roman" w:hAnsi="Times New Roman"/>
          <w:sz w:val="26"/>
          <w:szCs w:val="26"/>
        </w:rPr>
        <w:t>2024</w:t>
      </w:r>
      <w:r w:rsidRPr="00A420E2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у</w:t>
      </w:r>
      <w:r w:rsidRPr="00A420E2">
        <w:rPr>
          <w:rFonts w:ascii="Times New Roman" w:hAnsi="Times New Roman"/>
          <w:sz w:val="26"/>
          <w:szCs w:val="26"/>
        </w:rPr>
        <w:t xml:space="preserve"> подготовлен в соответствии с разделом 7 Стратегии.</w:t>
      </w:r>
    </w:p>
    <w:p w:rsidR="00471688" w:rsidRDefault="00471688" w:rsidP="0077731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688" w:rsidRPr="00227CE6" w:rsidRDefault="00471688" w:rsidP="0077731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индикаторов</w:t>
      </w:r>
      <w:r>
        <w:rPr>
          <w:rFonts w:ascii="Times New Roman" w:hAnsi="Times New Roman"/>
          <w:b/>
          <w:sz w:val="28"/>
          <w:szCs w:val="28"/>
        </w:rPr>
        <w:t xml:space="preserve"> согласно поставленным целям</w:t>
      </w:r>
    </w:p>
    <w:p w:rsidR="00471688" w:rsidRPr="00842C9D" w:rsidRDefault="00471688" w:rsidP="0077731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Для определения степени достижения целей и задач </w:t>
      </w:r>
      <w:r>
        <w:rPr>
          <w:rFonts w:ascii="Times New Roman" w:hAnsi="Times New Roman"/>
          <w:sz w:val="26"/>
          <w:szCs w:val="26"/>
        </w:rPr>
        <w:t>Стратегии</w:t>
      </w:r>
      <w:r w:rsidRPr="00D234BB">
        <w:rPr>
          <w:rFonts w:ascii="Times New Roman" w:hAnsi="Times New Roman"/>
          <w:sz w:val="26"/>
          <w:szCs w:val="26"/>
        </w:rPr>
        <w:t xml:space="preserve"> в рамках мониторинга проведен анализ фактических значений </w:t>
      </w:r>
      <w:r w:rsidRPr="00912D90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8</w:t>
      </w:r>
      <w:r w:rsidRPr="00912D90">
        <w:rPr>
          <w:rFonts w:ascii="Times New Roman" w:hAnsi="Times New Roman"/>
          <w:b/>
          <w:sz w:val="26"/>
          <w:szCs w:val="26"/>
        </w:rPr>
        <w:t xml:space="preserve"> индикаторов</w:t>
      </w:r>
      <w:r w:rsidRPr="00912D90">
        <w:rPr>
          <w:rFonts w:ascii="Times New Roman" w:hAnsi="Times New Roman"/>
          <w:sz w:val="26"/>
          <w:szCs w:val="26"/>
        </w:rPr>
        <w:t>,</w:t>
      </w:r>
      <w:r w:rsidRPr="00D234BB">
        <w:rPr>
          <w:rFonts w:ascii="Times New Roman" w:hAnsi="Times New Roman"/>
          <w:sz w:val="26"/>
          <w:szCs w:val="26"/>
        </w:rPr>
        <w:t xml:space="preserve"> выполнение которых было запланировано до 20</w:t>
      </w:r>
      <w:r>
        <w:rPr>
          <w:rFonts w:ascii="Times New Roman" w:hAnsi="Times New Roman"/>
          <w:sz w:val="26"/>
          <w:szCs w:val="26"/>
        </w:rPr>
        <w:t>35</w:t>
      </w:r>
      <w:r w:rsidRPr="00D234BB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(таблица прилагается)</w:t>
      </w:r>
    </w:p>
    <w:p w:rsidR="00471688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2024 году по </w:t>
      </w:r>
      <w:r>
        <w:rPr>
          <w:rFonts w:ascii="Times New Roman" w:hAnsi="Times New Roman"/>
          <w:b/>
          <w:sz w:val="26"/>
          <w:szCs w:val="26"/>
        </w:rPr>
        <w:t>13</w:t>
      </w:r>
      <w:r w:rsidRPr="009F6DC6">
        <w:rPr>
          <w:rFonts w:ascii="Times New Roman" w:hAnsi="Times New Roman"/>
          <w:b/>
          <w:sz w:val="26"/>
          <w:szCs w:val="26"/>
        </w:rPr>
        <w:t xml:space="preserve"> индикаторам</w:t>
      </w:r>
      <w:r>
        <w:rPr>
          <w:rFonts w:ascii="Times New Roman" w:hAnsi="Times New Roman"/>
          <w:sz w:val="26"/>
          <w:szCs w:val="26"/>
        </w:rPr>
        <w:t xml:space="preserve"> отмечается ухудшение.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7875">
        <w:rPr>
          <w:rFonts w:ascii="Times New Roman" w:hAnsi="Times New Roman"/>
          <w:sz w:val="26"/>
          <w:szCs w:val="26"/>
        </w:rPr>
        <w:t xml:space="preserve">1. </w:t>
      </w:r>
      <w:r w:rsidRPr="00B97875">
        <w:rPr>
          <w:rFonts w:ascii="Times New Roman" w:eastAsia="Times New Roman" w:hAnsi="Times New Roman"/>
          <w:sz w:val="26"/>
          <w:szCs w:val="26"/>
          <w:lang w:eastAsia="ru-RU"/>
        </w:rPr>
        <w:t>Общий коэффициент смертности, число умерших на 1000 человек населения с 8,6 на 7.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7875">
        <w:rPr>
          <w:rFonts w:ascii="Times New Roman" w:eastAsia="Times New Roman" w:hAnsi="Times New Roman"/>
          <w:sz w:val="26"/>
          <w:szCs w:val="26"/>
          <w:lang w:eastAsia="ru-RU"/>
        </w:rPr>
        <w:t>2.  Общий коэффициент смертности, число умерших на 1000 человек населения с 17,7 на 18.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7875">
        <w:rPr>
          <w:rFonts w:ascii="Times New Roman" w:eastAsia="Times New Roman" w:hAnsi="Times New Roman"/>
          <w:sz w:val="26"/>
          <w:szCs w:val="26"/>
          <w:lang w:eastAsia="ru-RU"/>
        </w:rPr>
        <w:t>3. Коэффициент естественного прироста населения на 1000 человек населения с -9,1 на 11.</w:t>
      </w:r>
    </w:p>
    <w:p w:rsidR="00471688" w:rsidRPr="00740DD2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40DD2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740DD2">
        <w:rPr>
          <w:rFonts w:ascii="Times New Roman" w:hAnsi="Times New Roman"/>
          <w:bCs/>
          <w:sz w:val="26"/>
          <w:szCs w:val="26"/>
        </w:rPr>
        <w:t>Доля муниципальных образовательных учреждений, соответствующих современным требованиям обучения, в общем количестве общеобразовательных учреждений с 70,3% на 69%.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97875">
        <w:rPr>
          <w:rFonts w:ascii="Times New Roman" w:hAnsi="Times New Roman"/>
          <w:bCs/>
          <w:sz w:val="26"/>
          <w:szCs w:val="26"/>
        </w:rPr>
        <w:t xml:space="preserve">5. </w:t>
      </w:r>
      <w:r w:rsidRPr="00B97875">
        <w:rPr>
          <w:rFonts w:ascii="Times New Roman" w:hAnsi="Times New Roman"/>
          <w:color w:val="000000"/>
          <w:sz w:val="26"/>
          <w:szCs w:val="26"/>
        </w:rPr>
        <w:t>Уровень зарегистрированной безработицы по отношению к численности трудоспособного населения (на конец периода) с 2,1% на 2,3%.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97875">
        <w:rPr>
          <w:rFonts w:ascii="Times New Roman" w:hAnsi="Times New Roman"/>
          <w:color w:val="000000"/>
          <w:sz w:val="26"/>
          <w:szCs w:val="26"/>
        </w:rPr>
        <w:t>6. Индекс промышленного производства по кругу крупных и средних организаций, % к предыдущему году в сопоставимых ценах с 100,5 на 77,9.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7875">
        <w:rPr>
          <w:rFonts w:ascii="Times New Roman" w:hAnsi="Times New Roman"/>
          <w:color w:val="000000"/>
          <w:sz w:val="26"/>
          <w:szCs w:val="26"/>
        </w:rPr>
        <w:t xml:space="preserve">7. </w:t>
      </w:r>
      <w:r w:rsidRPr="00B97875">
        <w:rPr>
          <w:rFonts w:ascii="Times New Roman" w:hAnsi="Times New Roman"/>
          <w:sz w:val="26"/>
          <w:szCs w:val="26"/>
        </w:rPr>
        <w:t xml:space="preserve">Производство продукции: </w:t>
      </w:r>
    </w:p>
    <w:p w:rsidR="00471688" w:rsidRPr="00740DD2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40DD2">
        <w:rPr>
          <w:rFonts w:ascii="Times New Roman" w:hAnsi="Times New Roman"/>
          <w:sz w:val="26"/>
          <w:szCs w:val="26"/>
        </w:rPr>
        <w:t xml:space="preserve">тепловая энергия (2024 г. – 22,9 тыс. </w:t>
      </w:r>
      <w:r w:rsidR="00777318" w:rsidRPr="00740DD2">
        <w:rPr>
          <w:rFonts w:ascii="Times New Roman" w:hAnsi="Times New Roman"/>
          <w:sz w:val="26"/>
          <w:szCs w:val="26"/>
        </w:rPr>
        <w:t>Гкал,</w:t>
      </w:r>
      <w:r w:rsidRPr="00740DD2">
        <w:rPr>
          <w:rFonts w:ascii="Times New Roman" w:hAnsi="Times New Roman"/>
          <w:sz w:val="26"/>
          <w:szCs w:val="26"/>
        </w:rPr>
        <w:t xml:space="preserve"> 2023 г. – 2</w:t>
      </w:r>
      <w:r>
        <w:rPr>
          <w:rFonts w:ascii="Times New Roman" w:hAnsi="Times New Roman"/>
          <w:sz w:val="26"/>
          <w:szCs w:val="26"/>
        </w:rPr>
        <w:t>3</w:t>
      </w:r>
      <w:r w:rsidRPr="00740DD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1</w:t>
      </w:r>
      <w:r w:rsidRPr="00740DD2">
        <w:rPr>
          <w:rFonts w:ascii="Times New Roman" w:hAnsi="Times New Roman"/>
          <w:sz w:val="26"/>
          <w:szCs w:val="26"/>
        </w:rPr>
        <w:t xml:space="preserve"> тыс. Гкал.).</w:t>
      </w:r>
      <w:r w:rsidRPr="00740DD2">
        <w:rPr>
          <w:rFonts w:ascii="Times New Roman" w:hAnsi="Times New Roman"/>
          <w:bCs/>
          <w:sz w:val="26"/>
          <w:szCs w:val="26"/>
        </w:rPr>
        <w:t xml:space="preserve"> </w:t>
      </w:r>
    </w:p>
    <w:p w:rsidR="00471688" w:rsidRPr="00AF3E47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B97875">
        <w:rPr>
          <w:rFonts w:ascii="Times New Roman" w:hAnsi="Times New Roman"/>
          <w:bCs/>
          <w:sz w:val="26"/>
          <w:szCs w:val="26"/>
        </w:rPr>
        <w:t>8. Индекс физического объема инвестиций в основной капитал (без субъектов малого предпринимательства и объемов инвестиций, не наблюдаемых прямыми статистическими методами</w:t>
      </w:r>
      <w:r w:rsidRPr="00740DD2">
        <w:rPr>
          <w:rFonts w:ascii="Times New Roman" w:hAnsi="Times New Roman"/>
          <w:bCs/>
          <w:sz w:val="26"/>
          <w:szCs w:val="26"/>
        </w:rPr>
        <w:t xml:space="preserve">), % </w:t>
      </w:r>
      <w:r w:rsidRPr="00740DD2">
        <w:rPr>
          <w:rFonts w:ascii="Times New Roman" w:hAnsi="Times New Roman"/>
          <w:sz w:val="26"/>
          <w:szCs w:val="26"/>
        </w:rPr>
        <w:t>к предыдущему году в сопоставимых ценах с 163,9 на 54,1.</w:t>
      </w:r>
    </w:p>
    <w:p w:rsidR="00471688" w:rsidRPr="00740DD2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40DD2">
        <w:rPr>
          <w:rFonts w:ascii="Times New Roman" w:hAnsi="Times New Roman"/>
          <w:sz w:val="26"/>
          <w:szCs w:val="26"/>
        </w:rPr>
        <w:t xml:space="preserve">9. </w:t>
      </w:r>
      <w:r w:rsidRPr="00740DD2">
        <w:rPr>
          <w:rFonts w:ascii="Times New Roman" w:hAnsi="Times New Roman"/>
          <w:bCs/>
          <w:sz w:val="26"/>
          <w:szCs w:val="26"/>
        </w:rPr>
        <w:t>Туристический поток (всего за год) с 4381 человека на 4250 человек.</w:t>
      </w:r>
    </w:p>
    <w:p w:rsidR="00471688" w:rsidRPr="00740DD2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D2">
        <w:rPr>
          <w:rFonts w:ascii="Times New Roman" w:hAnsi="Times New Roman"/>
          <w:bCs/>
          <w:sz w:val="26"/>
          <w:szCs w:val="26"/>
        </w:rPr>
        <w:t xml:space="preserve">10. </w:t>
      </w:r>
      <w:r w:rsidRPr="00740DD2">
        <w:rPr>
          <w:rFonts w:ascii="Times New Roman" w:hAnsi="Times New Roman"/>
          <w:sz w:val="26"/>
          <w:szCs w:val="26"/>
        </w:rPr>
        <w:t xml:space="preserve">Численность занятых в сфере малого и среднего предпринимательства, включая индивидуальных предпринимателей с 782 человека на 723 человека </w:t>
      </w:r>
      <w:r>
        <w:rPr>
          <w:rFonts w:ascii="Times New Roman" w:hAnsi="Times New Roman"/>
          <w:sz w:val="26"/>
          <w:szCs w:val="26"/>
        </w:rPr>
        <w:t>за год.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97875">
        <w:rPr>
          <w:rFonts w:ascii="Times New Roman" w:hAnsi="Times New Roman"/>
          <w:color w:val="000000"/>
          <w:sz w:val="26"/>
          <w:szCs w:val="26"/>
        </w:rPr>
        <w:lastRenderedPageBreak/>
        <w:t xml:space="preserve">11. </w:t>
      </w:r>
      <w:r w:rsidRPr="00B97875">
        <w:rPr>
          <w:rFonts w:ascii="Times New Roman" w:hAnsi="Times New Roman"/>
          <w:bCs/>
          <w:sz w:val="26"/>
          <w:szCs w:val="26"/>
        </w:rPr>
        <w:t>Объем платных услуг на душу населения с 2,6 тыс. рублей на 1,3 тыс. рублей.</w:t>
      </w:r>
    </w:p>
    <w:p w:rsidR="00471688" w:rsidRPr="00740DD2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40DD2">
        <w:rPr>
          <w:rFonts w:ascii="Times New Roman" w:hAnsi="Times New Roman"/>
          <w:bCs/>
          <w:sz w:val="26"/>
          <w:szCs w:val="26"/>
        </w:rPr>
        <w:t>12. Удовлетворенность населения деятельностью органов местного самоуправления с 51% на 47%.</w:t>
      </w:r>
    </w:p>
    <w:p w:rsidR="00471688" w:rsidRPr="00B97875" w:rsidRDefault="00471688" w:rsidP="00777318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97875">
        <w:rPr>
          <w:rFonts w:ascii="Times New Roman" w:hAnsi="Times New Roman"/>
          <w:bCs/>
          <w:sz w:val="26"/>
          <w:szCs w:val="26"/>
        </w:rPr>
        <w:t xml:space="preserve">13. </w:t>
      </w:r>
      <w:r w:rsidRPr="00B97875">
        <w:rPr>
          <w:rFonts w:ascii="Times New Roman" w:hAnsi="Times New Roman"/>
          <w:color w:val="000000"/>
          <w:sz w:val="26"/>
          <w:szCs w:val="26"/>
        </w:rPr>
        <w:t>Бюджетная обеспеченность за счет налоговых и неналоговых доходов консолидированного бюджета муниципального района, рублей на душу населения с 11782 на 10257.</w:t>
      </w:r>
    </w:p>
    <w:p w:rsidR="00471688" w:rsidRDefault="00471688" w:rsidP="00777318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688" w:rsidRDefault="00471688" w:rsidP="00777318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 xml:space="preserve">Выполнение </w:t>
      </w:r>
      <w:r>
        <w:rPr>
          <w:rFonts w:ascii="Times New Roman" w:hAnsi="Times New Roman"/>
          <w:b/>
          <w:sz w:val="28"/>
          <w:szCs w:val="28"/>
        </w:rPr>
        <w:t xml:space="preserve">мероприятий в целях осуществления инвестиционной </w:t>
      </w:r>
    </w:p>
    <w:p w:rsidR="00471688" w:rsidRPr="00227CE6" w:rsidRDefault="00471688" w:rsidP="00777318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на производственных площадках </w:t>
      </w:r>
    </w:p>
    <w:p w:rsidR="00471688" w:rsidRPr="002B3F32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03E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производственных площадок</w:t>
      </w:r>
      <w:r>
        <w:rPr>
          <w:rFonts w:ascii="Times New Roman" w:hAnsi="Times New Roman"/>
          <w:sz w:val="26"/>
          <w:szCs w:val="26"/>
        </w:rPr>
        <w:t xml:space="preserve"> включе</w:t>
      </w:r>
      <w:r w:rsidRPr="003D03EE">
        <w:rPr>
          <w:rFonts w:ascii="Times New Roman" w:hAnsi="Times New Roman"/>
          <w:sz w:val="26"/>
          <w:szCs w:val="26"/>
        </w:rPr>
        <w:t xml:space="preserve">ны в </w:t>
      </w:r>
      <w:r>
        <w:rPr>
          <w:rFonts w:ascii="Times New Roman" w:hAnsi="Times New Roman"/>
          <w:sz w:val="26"/>
          <w:szCs w:val="26"/>
        </w:rPr>
        <w:t>Стратегию развития муниципального района Бурлинский район Алтайского края.</w:t>
      </w:r>
    </w:p>
    <w:p w:rsidR="00471688" w:rsidRDefault="00471688" w:rsidP="00777318">
      <w:pPr>
        <w:tabs>
          <w:tab w:val="left" w:pos="946"/>
          <w:tab w:val="left" w:pos="139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района в 2024 году не реализовывались инвестиционные внебюджетные инвестиционные проекты.</w:t>
      </w:r>
    </w:p>
    <w:p w:rsidR="00471688" w:rsidRPr="003D03EE" w:rsidRDefault="00471688" w:rsidP="00777318">
      <w:pPr>
        <w:tabs>
          <w:tab w:val="left" w:pos="946"/>
          <w:tab w:val="left" w:pos="139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71688" w:rsidRPr="00227CE6" w:rsidRDefault="00471688" w:rsidP="0077731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краевых программ и муниципальных программ</w:t>
      </w:r>
    </w:p>
    <w:p w:rsidR="00471688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2024 году н</w:t>
      </w:r>
      <w:r w:rsidRPr="002D5B7D">
        <w:rPr>
          <w:rFonts w:ascii="Times New Roman" w:hAnsi="Times New Roman"/>
          <w:color w:val="000000"/>
          <w:sz w:val="26"/>
          <w:szCs w:val="26"/>
        </w:rPr>
        <w:t>а территории Бурлинского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действует </w:t>
      </w:r>
      <w:r>
        <w:rPr>
          <w:rFonts w:ascii="Times New Roman" w:hAnsi="Times New Roman"/>
          <w:b/>
          <w:color w:val="000000"/>
          <w:sz w:val="26"/>
          <w:szCs w:val="26"/>
        </w:rPr>
        <w:t>33</w:t>
      </w:r>
      <w:r w:rsidRPr="002D5B7D">
        <w:rPr>
          <w:rFonts w:ascii="Times New Roman" w:hAnsi="Times New Roman"/>
          <w:b/>
          <w:color w:val="000000"/>
          <w:sz w:val="26"/>
          <w:szCs w:val="26"/>
        </w:rPr>
        <w:t xml:space="preserve"> программ</w:t>
      </w:r>
      <w:r>
        <w:rPr>
          <w:rFonts w:ascii="Times New Roman" w:hAnsi="Times New Roman"/>
          <w:b/>
          <w:color w:val="000000"/>
          <w:sz w:val="26"/>
          <w:szCs w:val="26"/>
        </w:rPr>
        <w:t>ы</w:t>
      </w:r>
      <w:r w:rsidRPr="002D5B7D">
        <w:rPr>
          <w:rFonts w:ascii="Times New Roman" w:hAnsi="Times New Roman"/>
          <w:color w:val="000000"/>
          <w:sz w:val="26"/>
          <w:szCs w:val="26"/>
        </w:rPr>
        <w:t>,</w:t>
      </w:r>
      <w:r w:rsidRPr="00D234B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в том числе </w:t>
      </w:r>
      <w:r>
        <w:rPr>
          <w:rFonts w:ascii="Times New Roman" w:hAnsi="Times New Roman"/>
          <w:color w:val="000000"/>
          <w:sz w:val="26"/>
          <w:szCs w:val="26"/>
        </w:rPr>
        <w:t>11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государственных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5B7D">
        <w:rPr>
          <w:rFonts w:ascii="Times New Roman" w:hAnsi="Times New Roman"/>
          <w:color w:val="000000"/>
          <w:sz w:val="26"/>
          <w:szCs w:val="26"/>
        </w:rPr>
        <w:t xml:space="preserve">и 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Pr="002D5B7D">
        <w:rPr>
          <w:rFonts w:ascii="Times New Roman" w:hAnsi="Times New Roman"/>
          <w:color w:val="000000"/>
          <w:sz w:val="26"/>
          <w:szCs w:val="26"/>
        </w:rPr>
        <w:t xml:space="preserve"> муниципальных программ</w:t>
      </w:r>
      <w:r w:rsidRPr="00912D90">
        <w:rPr>
          <w:rFonts w:ascii="Times New Roman" w:hAnsi="Times New Roman"/>
          <w:sz w:val="26"/>
          <w:szCs w:val="26"/>
        </w:rPr>
        <w:t>.</w:t>
      </w:r>
      <w:r w:rsidRPr="00912D90">
        <w:rPr>
          <w:rFonts w:ascii="Times New Roman" w:hAnsi="Times New Roman"/>
          <w:b/>
          <w:sz w:val="26"/>
          <w:szCs w:val="26"/>
        </w:rPr>
        <w:t xml:space="preserve"> </w:t>
      </w:r>
    </w:p>
    <w:p w:rsidR="00471688" w:rsidRPr="00AF3E47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 xml:space="preserve">В рамках реализации краевых и муниципальных программ по укреплению и модернизации материально-технической базы бюджетной и коммунальной инфраструктуры, благоустройству, Администрацией района привлечено и освоено из различных источников </w:t>
      </w:r>
      <w:r w:rsidRPr="00740DD2">
        <w:rPr>
          <w:rFonts w:ascii="Times New Roman" w:hAnsi="Times New Roman"/>
          <w:sz w:val="26"/>
          <w:szCs w:val="26"/>
        </w:rPr>
        <w:t xml:space="preserve">более </w:t>
      </w:r>
      <w:r>
        <w:rPr>
          <w:rFonts w:ascii="Times New Roman" w:hAnsi="Times New Roman"/>
          <w:sz w:val="26"/>
          <w:szCs w:val="26"/>
        </w:rPr>
        <w:t>70</w:t>
      </w:r>
      <w:r w:rsidRPr="00740DD2">
        <w:rPr>
          <w:rFonts w:ascii="Times New Roman" w:hAnsi="Times New Roman"/>
          <w:sz w:val="26"/>
          <w:szCs w:val="26"/>
        </w:rPr>
        <w:t xml:space="preserve"> млн. рублей.</w:t>
      </w:r>
    </w:p>
    <w:p w:rsidR="00471688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В том числе: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>- 17, 919 млн. рублей – для капитального ремонта водозаборного сооружения в с. Новопесчаное;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0,8 млн</w:t>
      </w:r>
      <w:r w:rsidRPr="007676AB">
        <w:rPr>
          <w:rFonts w:ascii="Times New Roman" w:hAnsi="Times New Roman"/>
          <w:sz w:val="26"/>
          <w:szCs w:val="26"/>
        </w:rPr>
        <w:t>. рублей – для капитального ремонта водопровода в с. Новопесчаное;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- 7,</w:t>
      </w:r>
      <w:r w:rsidRPr="007676AB">
        <w:rPr>
          <w:rFonts w:ascii="Times New Roman" w:hAnsi="Times New Roman"/>
          <w:sz w:val="26"/>
          <w:szCs w:val="26"/>
        </w:rPr>
        <w:t>502</w:t>
      </w:r>
      <w:r w:rsidR="00777318">
        <w:rPr>
          <w:rFonts w:ascii="Times New Roman" w:hAnsi="Times New Roman"/>
          <w:sz w:val="26"/>
          <w:szCs w:val="26"/>
        </w:rPr>
        <w:t xml:space="preserve"> </w:t>
      </w:r>
      <w:r w:rsidRPr="007676AB">
        <w:rPr>
          <w:rFonts w:ascii="Times New Roman" w:hAnsi="Times New Roman"/>
          <w:sz w:val="26"/>
          <w:szCs w:val="26"/>
        </w:rPr>
        <w:t>млн. рублей – для капитального ремонта интерната в с. Михайловка;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- 20,</w:t>
      </w:r>
      <w:r w:rsidRPr="007676AB">
        <w:rPr>
          <w:rFonts w:ascii="Times New Roman" w:hAnsi="Times New Roman"/>
          <w:sz w:val="26"/>
          <w:szCs w:val="26"/>
        </w:rPr>
        <w:t>154 млн. рублей – для капитального ремонта детского сада в с. Бурла;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1,</w:t>
      </w:r>
      <w:r w:rsidRPr="007676AB">
        <w:rPr>
          <w:rFonts w:ascii="Times New Roman" w:hAnsi="Times New Roman"/>
          <w:sz w:val="26"/>
          <w:szCs w:val="26"/>
        </w:rPr>
        <w:t>437 млн. рублей – для капитального ремонта Дома культуры в с. Устьянка (ГРАНТ);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1,</w:t>
      </w:r>
      <w:r w:rsidRPr="007676AB">
        <w:rPr>
          <w:rFonts w:ascii="Times New Roman" w:hAnsi="Times New Roman"/>
          <w:sz w:val="26"/>
          <w:szCs w:val="26"/>
        </w:rPr>
        <w:t>348 млн. рублей – для благоустройства мест отдыха в с. Новосельское (ГРАНТ);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- 4,</w:t>
      </w:r>
      <w:r w:rsidRPr="007676AB">
        <w:rPr>
          <w:rFonts w:ascii="Times New Roman" w:hAnsi="Times New Roman"/>
          <w:sz w:val="26"/>
          <w:szCs w:val="26"/>
        </w:rPr>
        <w:t xml:space="preserve">1 млн. рублей – для благоустройства центрального парка в с. Бурла по проекту </w:t>
      </w:r>
      <w:r>
        <w:rPr>
          <w:rFonts w:ascii="Times New Roman" w:hAnsi="Times New Roman"/>
          <w:sz w:val="26"/>
          <w:szCs w:val="26"/>
        </w:rPr>
        <w:t>«</w:t>
      </w:r>
      <w:r w:rsidRPr="007676AB">
        <w:rPr>
          <w:rFonts w:ascii="Times New Roman" w:hAnsi="Times New Roman"/>
          <w:sz w:val="26"/>
          <w:szCs w:val="26"/>
        </w:rPr>
        <w:t>Формирования современной городской среды</w:t>
      </w:r>
      <w:r>
        <w:rPr>
          <w:rFonts w:ascii="Times New Roman" w:hAnsi="Times New Roman"/>
          <w:sz w:val="26"/>
          <w:szCs w:val="26"/>
        </w:rPr>
        <w:t>»</w:t>
      </w:r>
      <w:r w:rsidRPr="007676AB">
        <w:rPr>
          <w:rFonts w:ascii="Times New Roman" w:hAnsi="Times New Roman"/>
          <w:sz w:val="26"/>
          <w:szCs w:val="26"/>
        </w:rPr>
        <w:t>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- 1,</w:t>
      </w:r>
      <w:r w:rsidRPr="007676AB">
        <w:rPr>
          <w:rFonts w:ascii="Times New Roman" w:hAnsi="Times New Roman"/>
          <w:sz w:val="26"/>
          <w:szCs w:val="26"/>
        </w:rPr>
        <w:t>612 млн. рублей – для установки ограждения территории школы в с. Бурла;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>- 2,7 млн. рублей – ремонт дорог;</w:t>
      </w:r>
    </w:p>
    <w:p w:rsidR="00471688" w:rsidRPr="007676AB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6AB">
        <w:rPr>
          <w:rFonts w:ascii="Times New Roman" w:hAnsi="Times New Roman"/>
          <w:sz w:val="26"/>
          <w:szCs w:val="26"/>
        </w:rPr>
        <w:t>- 2 млн. рублей – приобретение котельного оборудования.</w:t>
      </w:r>
    </w:p>
    <w:p w:rsidR="00471688" w:rsidRPr="00A41BF0" w:rsidRDefault="00471688" w:rsidP="007773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 xml:space="preserve"> </w:t>
      </w:r>
      <w:r w:rsidRPr="00A41BF0">
        <w:rPr>
          <w:rFonts w:ascii="Times New Roman" w:hAnsi="Times New Roman"/>
          <w:b/>
          <w:sz w:val="26"/>
          <w:szCs w:val="26"/>
        </w:rPr>
        <w:t>Из 22 муниципальных программ</w:t>
      </w:r>
      <w:r w:rsidRPr="00A41BF0">
        <w:rPr>
          <w:rFonts w:ascii="Times New Roman" w:hAnsi="Times New Roman"/>
          <w:sz w:val="26"/>
          <w:szCs w:val="26"/>
        </w:rPr>
        <w:t xml:space="preserve"> фактически освоено </w:t>
      </w:r>
      <w:r>
        <w:rPr>
          <w:rFonts w:ascii="Times New Roman" w:hAnsi="Times New Roman"/>
          <w:b/>
          <w:sz w:val="26"/>
          <w:szCs w:val="26"/>
        </w:rPr>
        <w:t>71519,11</w:t>
      </w:r>
      <w:r w:rsidRPr="00A41BF0">
        <w:rPr>
          <w:rFonts w:ascii="Times New Roman" w:hAnsi="Times New Roman"/>
          <w:b/>
          <w:sz w:val="26"/>
          <w:szCs w:val="26"/>
        </w:rPr>
        <w:t xml:space="preserve"> тыс. рублей</w:t>
      </w:r>
      <w:r w:rsidRPr="00A41BF0">
        <w:rPr>
          <w:rFonts w:ascii="Times New Roman" w:hAnsi="Times New Roman"/>
          <w:sz w:val="26"/>
          <w:szCs w:val="26"/>
        </w:rPr>
        <w:t xml:space="preserve"> из </w:t>
      </w:r>
      <w:r>
        <w:rPr>
          <w:rFonts w:ascii="Times New Roman" w:hAnsi="Times New Roman"/>
          <w:sz w:val="26"/>
          <w:szCs w:val="26"/>
        </w:rPr>
        <w:t>104878,6</w:t>
      </w:r>
      <w:r w:rsidRPr="00A41BF0">
        <w:rPr>
          <w:rFonts w:ascii="Times New Roman" w:hAnsi="Times New Roman"/>
          <w:sz w:val="26"/>
          <w:szCs w:val="26"/>
        </w:rPr>
        <w:t xml:space="preserve"> тыс. рублей запланированных (</w:t>
      </w:r>
      <w:r>
        <w:rPr>
          <w:rFonts w:ascii="Times New Roman" w:hAnsi="Times New Roman"/>
          <w:sz w:val="26"/>
          <w:szCs w:val="26"/>
        </w:rPr>
        <w:t>68</w:t>
      </w:r>
      <w:r w:rsidRPr="00A41BF0">
        <w:rPr>
          <w:rFonts w:ascii="Times New Roman" w:hAnsi="Times New Roman"/>
          <w:sz w:val="26"/>
          <w:szCs w:val="26"/>
        </w:rPr>
        <w:t xml:space="preserve">%), в том числе федеральный бюджет – </w:t>
      </w:r>
      <w:r>
        <w:rPr>
          <w:rFonts w:ascii="Times New Roman" w:hAnsi="Times New Roman"/>
          <w:sz w:val="26"/>
          <w:szCs w:val="26"/>
        </w:rPr>
        <w:t>1251,1</w:t>
      </w:r>
      <w:r w:rsidRPr="00A41BF0">
        <w:rPr>
          <w:rFonts w:ascii="Times New Roman" w:hAnsi="Times New Roman"/>
          <w:sz w:val="26"/>
          <w:szCs w:val="26"/>
        </w:rPr>
        <w:t xml:space="preserve"> тыс. рублей, краевой бюджет – </w:t>
      </w:r>
      <w:r>
        <w:rPr>
          <w:rFonts w:ascii="Times New Roman" w:hAnsi="Times New Roman"/>
          <w:sz w:val="26"/>
          <w:szCs w:val="26"/>
        </w:rPr>
        <w:t>54784,17</w:t>
      </w:r>
      <w:r w:rsidRPr="00A41BF0">
        <w:rPr>
          <w:rFonts w:ascii="Times New Roman" w:hAnsi="Times New Roman"/>
          <w:sz w:val="26"/>
          <w:szCs w:val="26"/>
        </w:rPr>
        <w:t xml:space="preserve"> тыс. рублей, местный бюджет – </w:t>
      </w:r>
      <w:r>
        <w:rPr>
          <w:rFonts w:ascii="Times New Roman" w:hAnsi="Times New Roman"/>
          <w:sz w:val="26"/>
          <w:szCs w:val="26"/>
        </w:rPr>
        <w:t>12537,56</w:t>
      </w:r>
      <w:r w:rsidRPr="00A41BF0">
        <w:rPr>
          <w:rFonts w:ascii="Times New Roman" w:hAnsi="Times New Roman"/>
          <w:sz w:val="26"/>
          <w:szCs w:val="26"/>
        </w:rPr>
        <w:t xml:space="preserve"> тыс. рублей, внебюджетные источники – </w:t>
      </w:r>
      <w:r>
        <w:rPr>
          <w:rFonts w:ascii="Times New Roman" w:hAnsi="Times New Roman"/>
          <w:sz w:val="26"/>
          <w:szCs w:val="26"/>
        </w:rPr>
        <w:t>2946,28</w:t>
      </w:r>
      <w:r w:rsidRPr="00A41BF0">
        <w:rPr>
          <w:rFonts w:ascii="Times New Roman" w:hAnsi="Times New Roman"/>
          <w:sz w:val="26"/>
          <w:szCs w:val="26"/>
        </w:rPr>
        <w:t xml:space="preserve"> тыс. рублей.</w:t>
      </w:r>
    </w:p>
    <w:p w:rsidR="00471688" w:rsidRPr="004B64C5" w:rsidRDefault="00471688" w:rsidP="0077731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 итогам комплексной оценки муниципальных программ   Бурлинского рай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 xml:space="preserve">она за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2024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:</w:t>
      </w:r>
    </w:p>
    <w:p w:rsidR="00471688" w:rsidRPr="004B64C5" w:rsidRDefault="00471688" w:rsidP="0077731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- 1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7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муниципальных программ реализованы с высоким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сти;</w:t>
      </w:r>
    </w:p>
    <w:p w:rsidR="00471688" w:rsidRPr="004B64C5" w:rsidRDefault="00471688" w:rsidP="0077731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5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муниципальные программы реализованы со средним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471688" w:rsidRPr="00A03993" w:rsidRDefault="00471688" w:rsidP="0077731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A03993">
        <w:rPr>
          <w:rFonts w:ascii="Times New Roman" w:hAnsi="Times New Roman"/>
          <w:sz w:val="24"/>
          <w:szCs w:val="24"/>
        </w:rPr>
        <w:lastRenderedPageBreak/>
        <w:t>Таблица</w:t>
      </w:r>
    </w:p>
    <w:p w:rsidR="00471688" w:rsidRDefault="00471688" w:rsidP="00471688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71688" w:rsidRDefault="00471688" w:rsidP="0047168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Выполнение целевых индикаторов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Стратегии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социально-экономического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развития муниципального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образования </w:t>
      </w:r>
      <w:smartTag w:uri="urn:schemas-microsoft-com:office:smarttags" w:element="PersonName">
        <w:r w:rsidRPr="00315C58">
          <w:rPr>
            <w:rFonts w:ascii="Times New Roman" w:eastAsia="Times New Roman" w:hAnsi="Times New Roman"/>
            <w:b/>
            <w:sz w:val="26"/>
            <w:szCs w:val="26"/>
            <w:lang w:eastAsia="ru-RU"/>
          </w:rPr>
          <w:t>Бурлинский район</w:t>
        </w:r>
      </w:smartTag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на период до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35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2024 году</w:t>
      </w:r>
    </w:p>
    <w:p w:rsidR="00471688" w:rsidRPr="00315C58" w:rsidRDefault="00471688" w:rsidP="0047168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6350"/>
        <w:gridCol w:w="1514"/>
        <w:gridCol w:w="1362"/>
        <w:gridCol w:w="16"/>
      </w:tblGrid>
      <w:tr w:rsidR="00471688" w:rsidRPr="000A518E" w:rsidTr="004A1697">
        <w:trPr>
          <w:gridAfter w:val="1"/>
          <w:wAfter w:w="16" w:type="dxa"/>
          <w:trHeight w:val="790"/>
        </w:trPr>
        <w:tc>
          <w:tcPr>
            <w:tcW w:w="721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50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индикатора, единица измерения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2023 год факт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286"/>
        </w:trPr>
        <w:tc>
          <w:tcPr>
            <w:tcW w:w="721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0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471688" w:rsidRPr="00315C5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385"/>
        </w:trPr>
        <w:tc>
          <w:tcPr>
            <w:tcW w:w="10232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Достижение высокого уровня и качества жизни населения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277"/>
        </w:trPr>
        <w:tc>
          <w:tcPr>
            <w:tcW w:w="10232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numPr>
                <w:ilvl w:val="1"/>
                <w:numId w:val="9"/>
              </w:numPr>
              <w:tabs>
                <w:tab w:val="left" w:pos="426"/>
                <w:tab w:val="left" w:pos="2632"/>
                <w:tab w:val="left" w:pos="283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Улучшение демографической ситуации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608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рождаемости, число родившихся на 1000 человек населения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0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560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смертности, число умерших на 1000 человек населения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0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710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прироста населения на 1000 человек населения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40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</w:p>
        </w:tc>
      </w:tr>
      <w:tr w:rsidR="00471688" w:rsidRPr="000A518E" w:rsidTr="004A1697">
        <w:trPr>
          <w:gridAfter w:val="1"/>
          <w:wAfter w:w="16" w:type="dxa"/>
          <w:trHeight w:hRule="exact" w:val="615"/>
        </w:trPr>
        <w:tc>
          <w:tcPr>
            <w:tcW w:w="10232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развития физической культуры и спорта, эффективной молодежной политики и патриотического воспитания молодежи</w:t>
            </w:r>
          </w:p>
        </w:tc>
      </w:tr>
      <w:tr w:rsidR="00471688" w:rsidRPr="000A518E" w:rsidTr="00777318">
        <w:trPr>
          <w:trHeight w:hRule="exact" w:val="793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</w:t>
            </w:r>
            <w:r w:rsidR="0077731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систематически занимающегося физкультурой и спортом, в общей численности населения,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471688" w:rsidRPr="000A518E" w:rsidTr="004A1697">
        <w:trPr>
          <w:trHeight w:hRule="exact" w:val="558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семей, улучшивших жилищные условия, единиц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71688" w:rsidRPr="00315C58" w:rsidTr="004A1697">
        <w:trPr>
          <w:trHeight w:hRule="exact" w:val="566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Количество проведенных районных молодежных мероприятий, единиц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471688" w:rsidRPr="00315C58" w:rsidTr="004A1697">
        <w:trPr>
          <w:trHeight w:hRule="exact" w:val="375"/>
        </w:trPr>
        <w:tc>
          <w:tcPr>
            <w:tcW w:w="10248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высокого качества и доступности образования</w:t>
            </w:r>
          </w:p>
        </w:tc>
      </w:tr>
      <w:tr w:rsidR="00471688" w:rsidRPr="00315C58" w:rsidTr="004A1697">
        <w:trPr>
          <w:trHeight w:hRule="exact" w:val="2309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550" w:type="dxa"/>
            <w:shd w:val="clear" w:color="auto" w:fill="FFFFFF"/>
          </w:tcPr>
          <w:p w:rsidR="00471688" w:rsidRPr="00E42D41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71688" w:rsidRPr="00AF3E47" w:rsidTr="004A1697">
        <w:trPr>
          <w:trHeight w:hRule="exact" w:val="1137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общеобразовательных учреждений, %</w:t>
            </w:r>
          </w:p>
        </w:tc>
        <w:tc>
          <w:tcPr>
            <w:tcW w:w="1559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471688" w:rsidRPr="00315C58" w:rsidTr="004A1697">
        <w:trPr>
          <w:trHeight w:hRule="exact" w:val="984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72,97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81,32</w:t>
            </w:r>
          </w:p>
        </w:tc>
      </w:tr>
      <w:tr w:rsidR="00471688" w:rsidRPr="000A518E" w:rsidTr="004A1697">
        <w:trPr>
          <w:trHeight w:hRule="exact" w:val="642"/>
        </w:trPr>
        <w:tc>
          <w:tcPr>
            <w:tcW w:w="10248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сферы культуры (формирование условий для развития духовности, культуры и нравственного здоровья населения)</w:t>
            </w:r>
          </w:p>
        </w:tc>
      </w:tr>
      <w:tr w:rsidR="00471688" w:rsidRPr="000A518E" w:rsidTr="004A1697">
        <w:trPr>
          <w:trHeight w:hRule="exact" w:val="638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550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по отношению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471688" w:rsidRDefault="00471688" w:rsidP="00471688">
      <w:r>
        <w:br w:type="page"/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7"/>
        <w:gridCol w:w="6343"/>
        <w:gridCol w:w="1514"/>
        <w:gridCol w:w="1377"/>
        <w:gridCol w:w="13"/>
      </w:tblGrid>
      <w:tr w:rsidR="00471688" w:rsidRPr="000A518E" w:rsidTr="004A1697">
        <w:trPr>
          <w:gridAfter w:val="1"/>
          <w:wAfter w:w="13" w:type="dxa"/>
          <w:trHeight w:hRule="exact" w:val="413"/>
        </w:trPr>
        <w:tc>
          <w:tcPr>
            <w:tcW w:w="10247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сбалансированного и эффективного рынка труда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851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Уровень зарегистрированной безработицы по отношению к численности трудоспособного населения (на конец периода),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709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Темп роста заработной платы работников по кругу крупных и средних организаций,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118,5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284"/>
        </w:trPr>
        <w:tc>
          <w:tcPr>
            <w:tcW w:w="10247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Содействие улучшению жилищных условий и повышение доступности жилья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439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Ввод в действие жилых домов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 xml:space="preserve">, кв. м           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275"/>
        </w:trPr>
        <w:tc>
          <w:tcPr>
            <w:tcW w:w="10247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kern w:val="32"/>
                <w:sz w:val="24"/>
                <w:szCs w:val="24"/>
              </w:rPr>
              <w:t>Цель 2. С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оздание условий для устойчивого экономического роста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421"/>
        </w:trPr>
        <w:tc>
          <w:tcPr>
            <w:tcW w:w="10247" w:type="dxa"/>
            <w:gridSpan w:val="5"/>
            <w:shd w:val="clear" w:color="auto" w:fill="FFFFFF"/>
          </w:tcPr>
          <w:p w:rsidR="00471688" w:rsidRPr="004F7688" w:rsidRDefault="00471688" w:rsidP="004A1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Стабилизация ситуации в промышленности и ее развитие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842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производства по кругу крупных и средних организаций, % к предыдущему году в сопоставимых ценах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425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Производство продукции: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688" w:rsidRPr="000A518E" w:rsidTr="004A1697">
        <w:trPr>
          <w:gridAfter w:val="1"/>
          <w:wAfter w:w="13" w:type="dxa"/>
          <w:trHeight w:hRule="exact" w:val="423"/>
        </w:trPr>
        <w:tc>
          <w:tcPr>
            <w:tcW w:w="721" w:type="dxa"/>
            <w:shd w:val="clear" w:color="auto" w:fill="FFFFFF"/>
          </w:tcPr>
          <w:p w:rsidR="00471688" w:rsidRPr="00FC30E1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2.1.2.1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тепловая энергия, </w:t>
            </w:r>
            <w:r w:rsidR="00777318" w:rsidRPr="004F7688">
              <w:rPr>
                <w:rFonts w:ascii="Times New Roman" w:hAnsi="Times New Roman"/>
                <w:bCs/>
                <w:sz w:val="24"/>
                <w:szCs w:val="24"/>
              </w:rPr>
              <w:t>тыс. Гкал</w:t>
            </w:r>
          </w:p>
        </w:tc>
        <w:tc>
          <w:tcPr>
            <w:tcW w:w="1559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18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287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2.1.2.2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кондитерские изделия, тонн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369"/>
        </w:trPr>
        <w:tc>
          <w:tcPr>
            <w:tcW w:w="10247" w:type="dxa"/>
            <w:gridSpan w:val="5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</w:tr>
      <w:tr w:rsidR="00471688" w:rsidRPr="000A518E" w:rsidTr="004A1697">
        <w:trPr>
          <w:gridAfter w:val="1"/>
          <w:wAfter w:w="13" w:type="dxa"/>
          <w:trHeight w:hRule="exact" w:val="1415"/>
        </w:trPr>
        <w:tc>
          <w:tcPr>
            <w:tcW w:w="72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9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Индекс физического объема инвестиций в основной капитал (без субъектов малого предпринимательства и объемов инвестиций, не наблюдаемых прямыми статистическими методами), % 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 предыдущему году в сопоставимых ценах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1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471688" w:rsidRPr="000A518E" w:rsidTr="004A1697">
        <w:trPr>
          <w:trHeight w:hRule="exact" w:val="982"/>
        </w:trPr>
        <w:tc>
          <w:tcPr>
            <w:tcW w:w="72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продукции сельского хозяйства во всех категориях хозяйств, % к предыдущему году в сопоставимых ценах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431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</w:t>
            </w:r>
          </w:p>
        </w:tc>
      </w:tr>
      <w:tr w:rsidR="00471688" w:rsidRPr="000A518E" w:rsidTr="004A1697">
        <w:trPr>
          <w:trHeight w:hRule="exact" w:val="351"/>
        </w:trPr>
        <w:tc>
          <w:tcPr>
            <w:tcW w:w="10260" w:type="dxa"/>
            <w:gridSpan w:val="6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благоприятных условий для развития сферы туризма</w:t>
            </w:r>
          </w:p>
        </w:tc>
      </w:tr>
      <w:tr w:rsidR="00471688" w:rsidRPr="000A518E" w:rsidTr="004A1697">
        <w:trPr>
          <w:trHeight w:hRule="exact" w:val="349"/>
        </w:trPr>
        <w:tc>
          <w:tcPr>
            <w:tcW w:w="72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Туристический поток (всего за год), человек</w:t>
            </w:r>
          </w:p>
        </w:tc>
        <w:tc>
          <w:tcPr>
            <w:tcW w:w="1559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</w:t>
            </w:r>
          </w:p>
        </w:tc>
        <w:tc>
          <w:tcPr>
            <w:tcW w:w="1431" w:type="dxa"/>
            <w:gridSpan w:val="2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</w:t>
            </w:r>
          </w:p>
        </w:tc>
      </w:tr>
      <w:tr w:rsidR="00471688" w:rsidRPr="000A518E" w:rsidTr="004A1697">
        <w:trPr>
          <w:trHeight w:hRule="exact" w:val="273"/>
        </w:trPr>
        <w:tc>
          <w:tcPr>
            <w:tcW w:w="10260" w:type="dxa"/>
            <w:gridSpan w:val="6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малого предпринимательства</w:t>
            </w:r>
          </w:p>
        </w:tc>
      </w:tr>
      <w:tr w:rsidR="00471688" w:rsidRPr="000A518E" w:rsidTr="004A1697">
        <w:trPr>
          <w:trHeight w:hRule="exact" w:val="1010"/>
        </w:trPr>
        <w:tc>
          <w:tcPr>
            <w:tcW w:w="72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человек</w:t>
            </w:r>
          </w:p>
        </w:tc>
        <w:tc>
          <w:tcPr>
            <w:tcW w:w="1559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431" w:type="dxa"/>
            <w:gridSpan w:val="2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</w:t>
            </w:r>
          </w:p>
        </w:tc>
      </w:tr>
      <w:tr w:rsidR="00471688" w:rsidRPr="000A518E" w:rsidTr="004A1697">
        <w:trPr>
          <w:trHeight w:hRule="exact" w:val="401"/>
        </w:trPr>
        <w:tc>
          <w:tcPr>
            <w:tcW w:w="10260" w:type="dxa"/>
            <w:gridSpan w:val="6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Развитая инфраструктура</w:t>
            </w:r>
          </w:p>
        </w:tc>
      </w:tr>
      <w:tr w:rsidR="00471688" w:rsidRPr="000A518E" w:rsidTr="004A1697">
        <w:trPr>
          <w:trHeight w:hRule="exact" w:val="434"/>
        </w:trPr>
        <w:tc>
          <w:tcPr>
            <w:tcW w:w="10260" w:type="dxa"/>
            <w:gridSpan w:val="6"/>
            <w:tcBorders>
              <w:top w:val="nil"/>
            </w:tcBorders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3.1. Сохранение и развитие транспортной инфраструктуры</w:t>
            </w:r>
          </w:p>
        </w:tc>
      </w:tr>
      <w:tr w:rsidR="00471688" w:rsidRPr="000A518E" w:rsidTr="004A1697">
        <w:trPr>
          <w:trHeight w:hRule="exact" w:val="1702"/>
        </w:trPr>
        <w:tc>
          <w:tcPr>
            <w:tcW w:w="72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431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471688" w:rsidRPr="000A518E" w:rsidTr="004A1697">
        <w:trPr>
          <w:trHeight w:hRule="exact" w:val="284"/>
        </w:trPr>
        <w:tc>
          <w:tcPr>
            <w:tcW w:w="10260" w:type="dxa"/>
            <w:gridSpan w:val="6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Модернизация и развитие коммунальной и энергетической инфраструктуры</w:t>
            </w:r>
          </w:p>
        </w:tc>
      </w:tr>
      <w:tr w:rsidR="00471688" w:rsidRPr="000A518E" w:rsidTr="004A1697">
        <w:trPr>
          <w:trHeight w:hRule="exact" w:val="994"/>
        </w:trPr>
        <w:tc>
          <w:tcPr>
            <w:tcW w:w="728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 района,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431" w:type="dxa"/>
            <w:gridSpan w:val="2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</w:tbl>
    <w:p w:rsidR="00471688" w:rsidRDefault="00471688" w:rsidP="00471688">
      <w:r>
        <w:br w:type="page"/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6343"/>
        <w:gridCol w:w="1514"/>
        <w:gridCol w:w="1390"/>
      </w:tblGrid>
      <w:tr w:rsidR="00471688" w:rsidRPr="000A518E" w:rsidTr="004A1697">
        <w:trPr>
          <w:trHeight w:hRule="exact" w:val="415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3.3.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устойчивого развития потребительского рынка</w:t>
            </w:r>
          </w:p>
        </w:tc>
      </w:tr>
      <w:tr w:rsidR="00471688" w:rsidRPr="000A518E" w:rsidTr="004A1697">
        <w:trPr>
          <w:trHeight w:hRule="exact" w:val="570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 розничной торговли на душу населения, 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3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471688" w:rsidRPr="000A518E" w:rsidTr="004A1697">
        <w:trPr>
          <w:trHeight w:hRule="exact" w:val="564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Объем платных услуг на душу населения, т. рублей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3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71688" w:rsidRPr="000A518E" w:rsidTr="004A1697">
        <w:trPr>
          <w:trHeight w:hRule="exact" w:val="1126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Информационно-телекоммуникационная инфраструктура (развитие информационного общества как основного драйвера роста цифровой экономики, цифровая трансформация муниципальных услуг и сервисов, развитие электронного правительства как цифровой платформы</w:t>
            </w:r>
          </w:p>
        </w:tc>
      </w:tr>
      <w:tr w:rsidR="00471688" w:rsidRPr="000A518E" w:rsidTr="004A1697">
        <w:trPr>
          <w:trHeight w:hRule="exact" w:val="1277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внутриведомственного и межведомственного юридически значимого электронного документооборота органа местного самоуправления Алтайского края в его общем документообороте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471688" w:rsidRPr="000A518E" w:rsidTr="004A1697">
        <w:trPr>
          <w:trHeight w:hRule="exact" w:val="417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471688" w:rsidRPr="000A518E" w:rsidTr="004A1697">
        <w:trPr>
          <w:trHeight w:hRule="exact" w:val="706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Выброшено в атмосферу загрязняющих веществ, отходящих от стационарных источников, тыс. тонн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71688" w:rsidRPr="000A518E" w:rsidTr="004A1697">
        <w:trPr>
          <w:trHeight w:hRule="exact" w:val="275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управления</w:t>
            </w:r>
          </w:p>
        </w:tc>
      </w:tr>
      <w:tr w:rsidR="00471688" w:rsidRPr="000A518E" w:rsidTr="004A1697">
        <w:trPr>
          <w:trHeight w:hRule="exact" w:val="563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и открытости деятельности органов местного самоуправления</w:t>
            </w:r>
          </w:p>
        </w:tc>
      </w:tr>
      <w:tr w:rsidR="00471688" w:rsidRPr="000A518E" w:rsidTr="004A1697">
        <w:trPr>
          <w:trHeight w:hRule="exact" w:val="587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населения деятельностью органов местного самоуправления, %</w:t>
            </w:r>
          </w:p>
        </w:tc>
        <w:tc>
          <w:tcPr>
            <w:tcW w:w="1559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1" w:type="dxa"/>
            <w:shd w:val="clear" w:color="auto" w:fill="FFFFFF"/>
          </w:tcPr>
          <w:p w:rsidR="00471688" w:rsidRPr="00740DD2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D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471688" w:rsidRPr="000A518E" w:rsidTr="004A1697">
        <w:trPr>
          <w:trHeight w:hRule="exact" w:val="566"/>
        </w:trPr>
        <w:tc>
          <w:tcPr>
            <w:tcW w:w="10260" w:type="dxa"/>
            <w:gridSpan w:val="4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Совершенствование системы управления муниципальными финансами и муниципальным имуществом</w:t>
            </w:r>
          </w:p>
        </w:tc>
      </w:tr>
      <w:tr w:rsidR="00471688" w:rsidRPr="000A518E" w:rsidTr="004A1697">
        <w:trPr>
          <w:trHeight w:hRule="exact" w:val="986"/>
        </w:trPr>
        <w:tc>
          <w:tcPr>
            <w:tcW w:w="728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542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обеспеченность за счет налоговых и неналоговых доходов консолидированного бюджета муниципального района, рублей на душу населения</w:t>
            </w:r>
          </w:p>
        </w:tc>
        <w:tc>
          <w:tcPr>
            <w:tcW w:w="1559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11782</w:t>
            </w:r>
          </w:p>
        </w:tc>
        <w:tc>
          <w:tcPr>
            <w:tcW w:w="1431" w:type="dxa"/>
            <w:shd w:val="clear" w:color="auto" w:fill="FFFFFF"/>
          </w:tcPr>
          <w:p w:rsidR="00471688" w:rsidRPr="004F7688" w:rsidRDefault="00471688" w:rsidP="004A1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10257</w:t>
            </w:r>
          </w:p>
        </w:tc>
      </w:tr>
    </w:tbl>
    <w:p w:rsidR="00471688" w:rsidRPr="00D234BB" w:rsidRDefault="00471688" w:rsidP="00471688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1688" w:rsidRPr="00D234BB" w:rsidRDefault="00471688" w:rsidP="00471688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1688" w:rsidRDefault="00471688" w:rsidP="00471688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1688" w:rsidRPr="00D234BB" w:rsidRDefault="00471688" w:rsidP="00471688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sz w:val="26"/>
          <w:szCs w:val="26"/>
        </w:rPr>
        <w:t>А</w:t>
      </w:r>
      <w:r w:rsidRPr="00D234BB">
        <w:rPr>
          <w:rFonts w:ascii="Times New Roman" w:hAnsi="Times New Roman"/>
          <w:sz w:val="26"/>
          <w:szCs w:val="26"/>
        </w:rPr>
        <w:t xml:space="preserve">дминистрации района, </w:t>
      </w:r>
    </w:p>
    <w:p w:rsidR="00471688" w:rsidRPr="00D234BB" w:rsidRDefault="00471688" w:rsidP="00471688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471688" w:rsidRPr="00D234BB" w:rsidRDefault="00471688" w:rsidP="00471688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471688" w:rsidRPr="00D234BB" w:rsidRDefault="00471688" w:rsidP="00471688">
      <w:pPr>
        <w:tabs>
          <w:tab w:val="left" w:pos="-30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>отношениям администрации райо</w:t>
      </w:r>
      <w:r>
        <w:rPr>
          <w:rFonts w:ascii="Times New Roman" w:hAnsi="Times New Roman"/>
          <w:sz w:val="26"/>
          <w:szCs w:val="26"/>
        </w:rPr>
        <w:t xml:space="preserve">на                                                            </w:t>
      </w:r>
      <w:r w:rsidRPr="00D234BB">
        <w:rPr>
          <w:rFonts w:ascii="Times New Roman" w:hAnsi="Times New Roman"/>
          <w:sz w:val="26"/>
          <w:szCs w:val="26"/>
        </w:rPr>
        <w:t xml:space="preserve">   О.В. Пыльцов</w:t>
      </w:r>
    </w:p>
    <w:p w:rsidR="009604C1" w:rsidRPr="00D234BB" w:rsidRDefault="009604C1" w:rsidP="004716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566B" w:rsidRPr="00D234B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566B" w:rsidRPr="00D234BB" w:rsidSect="005C2CB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5A" w:rsidRDefault="0002625A">
      <w:r>
        <w:separator/>
      </w:r>
    </w:p>
  </w:endnote>
  <w:endnote w:type="continuationSeparator" w:id="0">
    <w:p w:rsidR="0002625A" w:rsidRDefault="0002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5A" w:rsidRDefault="0002625A">
      <w:r>
        <w:separator/>
      </w:r>
    </w:p>
  </w:footnote>
  <w:footnote w:type="continuationSeparator" w:id="0">
    <w:p w:rsidR="0002625A" w:rsidRDefault="00026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9E6508"/>
    <w:multiLevelType w:val="hybridMultilevel"/>
    <w:tmpl w:val="7B1658B2"/>
    <w:lvl w:ilvl="0" w:tplc="2E5A8848">
      <w:start w:val="1"/>
      <w:numFmt w:val="bullet"/>
      <w:lvlText w:val=""/>
      <w:lvlJc w:val="left"/>
      <w:pPr>
        <w:tabs>
          <w:tab w:val="num" w:pos="1503"/>
        </w:tabs>
        <w:ind w:left="1503" w:hanging="36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75CF614D"/>
    <w:multiLevelType w:val="hybridMultilevel"/>
    <w:tmpl w:val="86C4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F4"/>
    <w:rsid w:val="00001F02"/>
    <w:rsid w:val="00002C37"/>
    <w:rsid w:val="0002104E"/>
    <w:rsid w:val="0002625A"/>
    <w:rsid w:val="000376D8"/>
    <w:rsid w:val="000403CD"/>
    <w:rsid w:val="0004083E"/>
    <w:rsid w:val="000414DD"/>
    <w:rsid w:val="00043CFF"/>
    <w:rsid w:val="00046443"/>
    <w:rsid w:val="00046F29"/>
    <w:rsid w:val="00060E12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2607"/>
    <w:rsid w:val="000E3F65"/>
    <w:rsid w:val="000E437A"/>
    <w:rsid w:val="000E4CDF"/>
    <w:rsid w:val="000F0C58"/>
    <w:rsid w:val="000F1E1D"/>
    <w:rsid w:val="000F5D94"/>
    <w:rsid w:val="00110E19"/>
    <w:rsid w:val="00112B26"/>
    <w:rsid w:val="00122E95"/>
    <w:rsid w:val="00125300"/>
    <w:rsid w:val="001256D8"/>
    <w:rsid w:val="001260C3"/>
    <w:rsid w:val="00131FF4"/>
    <w:rsid w:val="0014425E"/>
    <w:rsid w:val="00166D35"/>
    <w:rsid w:val="00180F38"/>
    <w:rsid w:val="001825C9"/>
    <w:rsid w:val="001A5497"/>
    <w:rsid w:val="001B00AB"/>
    <w:rsid w:val="001B23FD"/>
    <w:rsid w:val="001B4C77"/>
    <w:rsid w:val="001C5E5A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1DEC"/>
    <w:rsid w:val="00211E9C"/>
    <w:rsid w:val="002139FB"/>
    <w:rsid w:val="00224A6D"/>
    <w:rsid w:val="002257B6"/>
    <w:rsid w:val="00227CE6"/>
    <w:rsid w:val="002332ED"/>
    <w:rsid w:val="002340AF"/>
    <w:rsid w:val="00241226"/>
    <w:rsid w:val="00242A73"/>
    <w:rsid w:val="00252A16"/>
    <w:rsid w:val="00263182"/>
    <w:rsid w:val="00264BE4"/>
    <w:rsid w:val="00265183"/>
    <w:rsid w:val="00266328"/>
    <w:rsid w:val="00271F05"/>
    <w:rsid w:val="00275659"/>
    <w:rsid w:val="00287169"/>
    <w:rsid w:val="00287C6F"/>
    <w:rsid w:val="00287F07"/>
    <w:rsid w:val="002A5C37"/>
    <w:rsid w:val="002B27AB"/>
    <w:rsid w:val="002B3F32"/>
    <w:rsid w:val="002D1878"/>
    <w:rsid w:val="002D21BD"/>
    <w:rsid w:val="002D5B7D"/>
    <w:rsid w:val="002D5DFE"/>
    <w:rsid w:val="002E2B13"/>
    <w:rsid w:val="002E5EAE"/>
    <w:rsid w:val="002F1A17"/>
    <w:rsid w:val="002F3D51"/>
    <w:rsid w:val="00304068"/>
    <w:rsid w:val="003051FF"/>
    <w:rsid w:val="00315C58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D03EE"/>
    <w:rsid w:val="003D1601"/>
    <w:rsid w:val="003D2E4D"/>
    <w:rsid w:val="003D5005"/>
    <w:rsid w:val="003E2FE2"/>
    <w:rsid w:val="003F34BE"/>
    <w:rsid w:val="003F44D3"/>
    <w:rsid w:val="00401627"/>
    <w:rsid w:val="00415260"/>
    <w:rsid w:val="0043368B"/>
    <w:rsid w:val="00434808"/>
    <w:rsid w:val="00436025"/>
    <w:rsid w:val="00441976"/>
    <w:rsid w:val="00443F7A"/>
    <w:rsid w:val="00471688"/>
    <w:rsid w:val="00474998"/>
    <w:rsid w:val="004807B7"/>
    <w:rsid w:val="00480C5A"/>
    <w:rsid w:val="00485458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13517"/>
    <w:rsid w:val="00521BA3"/>
    <w:rsid w:val="0053079D"/>
    <w:rsid w:val="005310E3"/>
    <w:rsid w:val="0053419D"/>
    <w:rsid w:val="00535669"/>
    <w:rsid w:val="005411C3"/>
    <w:rsid w:val="005415A0"/>
    <w:rsid w:val="005544CE"/>
    <w:rsid w:val="005565DA"/>
    <w:rsid w:val="00567072"/>
    <w:rsid w:val="00567632"/>
    <w:rsid w:val="00576D68"/>
    <w:rsid w:val="00583532"/>
    <w:rsid w:val="0058700C"/>
    <w:rsid w:val="00590AF4"/>
    <w:rsid w:val="005A0611"/>
    <w:rsid w:val="005B6214"/>
    <w:rsid w:val="005C2CB1"/>
    <w:rsid w:val="005C2EAA"/>
    <w:rsid w:val="005C7BCE"/>
    <w:rsid w:val="005D1B3A"/>
    <w:rsid w:val="005D1B8D"/>
    <w:rsid w:val="005D4246"/>
    <w:rsid w:val="005D47EC"/>
    <w:rsid w:val="005E0F10"/>
    <w:rsid w:val="005E302E"/>
    <w:rsid w:val="005F3A3E"/>
    <w:rsid w:val="005F55D8"/>
    <w:rsid w:val="005F62D2"/>
    <w:rsid w:val="005F7184"/>
    <w:rsid w:val="0060780D"/>
    <w:rsid w:val="00607ADC"/>
    <w:rsid w:val="00610692"/>
    <w:rsid w:val="006170A7"/>
    <w:rsid w:val="00625C54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6BE1"/>
    <w:rsid w:val="006E1537"/>
    <w:rsid w:val="006E165A"/>
    <w:rsid w:val="006E33B1"/>
    <w:rsid w:val="006E6515"/>
    <w:rsid w:val="006F3D17"/>
    <w:rsid w:val="006F606F"/>
    <w:rsid w:val="0070743B"/>
    <w:rsid w:val="00713730"/>
    <w:rsid w:val="0071579E"/>
    <w:rsid w:val="007176DC"/>
    <w:rsid w:val="0072667E"/>
    <w:rsid w:val="00732A77"/>
    <w:rsid w:val="00733421"/>
    <w:rsid w:val="00736BB2"/>
    <w:rsid w:val="007379F6"/>
    <w:rsid w:val="00753192"/>
    <w:rsid w:val="007575B1"/>
    <w:rsid w:val="00762C67"/>
    <w:rsid w:val="00765EB5"/>
    <w:rsid w:val="00770470"/>
    <w:rsid w:val="007734F1"/>
    <w:rsid w:val="00773DF0"/>
    <w:rsid w:val="00777318"/>
    <w:rsid w:val="00785740"/>
    <w:rsid w:val="007A23D7"/>
    <w:rsid w:val="007C18F5"/>
    <w:rsid w:val="007C7360"/>
    <w:rsid w:val="007D1953"/>
    <w:rsid w:val="007E1356"/>
    <w:rsid w:val="007E30A5"/>
    <w:rsid w:val="007E5A9D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20F6D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5C47"/>
    <w:rsid w:val="008B5E96"/>
    <w:rsid w:val="008C1B7C"/>
    <w:rsid w:val="008C3667"/>
    <w:rsid w:val="008C6A4A"/>
    <w:rsid w:val="008E3232"/>
    <w:rsid w:val="008E7FCA"/>
    <w:rsid w:val="008F0777"/>
    <w:rsid w:val="009049E8"/>
    <w:rsid w:val="00906480"/>
    <w:rsid w:val="00914134"/>
    <w:rsid w:val="00915DB2"/>
    <w:rsid w:val="00916A21"/>
    <w:rsid w:val="00927EB0"/>
    <w:rsid w:val="0093304A"/>
    <w:rsid w:val="009365F9"/>
    <w:rsid w:val="0094146B"/>
    <w:rsid w:val="00942AF9"/>
    <w:rsid w:val="00950777"/>
    <w:rsid w:val="009600D3"/>
    <w:rsid w:val="009604C1"/>
    <w:rsid w:val="00961978"/>
    <w:rsid w:val="00962A4B"/>
    <w:rsid w:val="0096521F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4597"/>
    <w:rsid w:val="009D1269"/>
    <w:rsid w:val="009D1673"/>
    <w:rsid w:val="009D5DBF"/>
    <w:rsid w:val="009D7A31"/>
    <w:rsid w:val="009F6DC6"/>
    <w:rsid w:val="00A04B6D"/>
    <w:rsid w:val="00A05BB2"/>
    <w:rsid w:val="00A06C43"/>
    <w:rsid w:val="00A164F7"/>
    <w:rsid w:val="00A23F9A"/>
    <w:rsid w:val="00A3140E"/>
    <w:rsid w:val="00A33C86"/>
    <w:rsid w:val="00A420E2"/>
    <w:rsid w:val="00A44D7B"/>
    <w:rsid w:val="00A47287"/>
    <w:rsid w:val="00A53527"/>
    <w:rsid w:val="00A5566B"/>
    <w:rsid w:val="00A608F6"/>
    <w:rsid w:val="00A6515F"/>
    <w:rsid w:val="00A676AB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B03BAD"/>
    <w:rsid w:val="00B22CEC"/>
    <w:rsid w:val="00B25E2E"/>
    <w:rsid w:val="00B26983"/>
    <w:rsid w:val="00B310E4"/>
    <w:rsid w:val="00B41BCF"/>
    <w:rsid w:val="00B442FD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945E7"/>
    <w:rsid w:val="00BB37C7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135BB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09E"/>
    <w:rsid w:val="00C83180"/>
    <w:rsid w:val="00C86677"/>
    <w:rsid w:val="00CA3089"/>
    <w:rsid w:val="00CA3AE6"/>
    <w:rsid w:val="00CA5555"/>
    <w:rsid w:val="00CA6071"/>
    <w:rsid w:val="00CA6B95"/>
    <w:rsid w:val="00CB2202"/>
    <w:rsid w:val="00CC1DA8"/>
    <w:rsid w:val="00CC1E1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031A"/>
    <w:rsid w:val="00D318D8"/>
    <w:rsid w:val="00D33DCA"/>
    <w:rsid w:val="00D52B0C"/>
    <w:rsid w:val="00D56BDB"/>
    <w:rsid w:val="00D61571"/>
    <w:rsid w:val="00D63340"/>
    <w:rsid w:val="00D6426F"/>
    <w:rsid w:val="00D861AA"/>
    <w:rsid w:val="00D94AB5"/>
    <w:rsid w:val="00DB2D91"/>
    <w:rsid w:val="00DD16BC"/>
    <w:rsid w:val="00DD71B4"/>
    <w:rsid w:val="00DE6167"/>
    <w:rsid w:val="00DF12FF"/>
    <w:rsid w:val="00DF1754"/>
    <w:rsid w:val="00DF32E5"/>
    <w:rsid w:val="00DF7EDA"/>
    <w:rsid w:val="00E02D20"/>
    <w:rsid w:val="00E02F92"/>
    <w:rsid w:val="00E0549E"/>
    <w:rsid w:val="00E065AF"/>
    <w:rsid w:val="00E070EF"/>
    <w:rsid w:val="00E16C23"/>
    <w:rsid w:val="00E2014A"/>
    <w:rsid w:val="00E21603"/>
    <w:rsid w:val="00E30F4D"/>
    <w:rsid w:val="00E31BA9"/>
    <w:rsid w:val="00E32F83"/>
    <w:rsid w:val="00E332D9"/>
    <w:rsid w:val="00E401C6"/>
    <w:rsid w:val="00E44D05"/>
    <w:rsid w:val="00E51C4B"/>
    <w:rsid w:val="00E53C5C"/>
    <w:rsid w:val="00E64147"/>
    <w:rsid w:val="00E65147"/>
    <w:rsid w:val="00E756DA"/>
    <w:rsid w:val="00E80AF9"/>
    <w:rsid w:val="00EA1AAF"/>
    <w:rsid w:val="00EB0421"/>
    <w:rsid w:val="00EB0CFF"/>
    <w:rsid w:val="00EB4583"/>
    <w:rsid w:val="00EC5DDE"/>
    <w:rsid w:val="00EE05DC"/>
    <w:rsid w:val="00EE0AAF"/>
    <w:rsid w:val="00EE604F"/>
    <w:rsid w:val="00EF0337"/>
    <w:rsid w:val="00F42E3D"/>
    <w:rsid w:val="00F5610F"/>
    <w:rsid w:val="00F56C39"/>
    <w:rsid w:val="00F60099"/>
    <w:rsid w:val="00F60329"/>
    <w:rsid w:val="00F732BD"/>
    <w:rsid w:val="00F779BD"/>
    <w:rsid w:val="00F81F9A"/>
    <w:rsid w:val="00F9645B"/>
    <w:rsid w:val="00FA189D"/>
    <w:rsid w:val="00FA2C9C"/>
    <w:rsid w:val="00FB1637"/>
    <w:rsid w:val="00FB57FD"/>
    <w:rsid w:val="00FB7E3F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E53E-C9AD-4D0A-9668-1F061D1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1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customStyle="1" w:styleId="12">
    <w:name w:val="Обычный (веб)1"/>
    <w:aliases w:val="Обычный (Web),Обычный (веб) Знак,Обычный (Web) Знак Знак,Обычный (веб) Знак Знак,Обычный (Web) Знак1 Знак,Обычный (Web) Знак Знак Знак, Знак Знак Знак1,Обычный (веб) Знак1,Знак Знак Знак1 Знак,Знак Знак, Знак Знак Знак Знак"/>
    <w:basedOn w:val="a"/>
    <w:uiPriority w:val="99"/>
    <w:qFormat/>
    <w:rsid w:val="001C5E5A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">
    <w:name w:val="Основа"/>
    <w:basedOn w:val="a"/>
    <w:link w:val="af0"/>
    <w:rsid w:val="001C5E5A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а Знак"/>
    <w:link w:val="af"/>
    <w:rsid w:val="001C5E5A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471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15179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Светлана Чумадевская</cp:lastModifiedBy>
  <cp:revision>3</cp:revision>
  <cp:lastPrinted>2025-10-10T09:59:00Z</cp:lastPrinted>
  <dcterms:created xsi:type="dcterms:W3CDTF">2025-10-21T07:53:00Z</dcterms:created>
  <dcterms:modified xsi:type="dcterms:W3CDTF">2025-10-21T07:53:00Z</dcterms:modified>
</cp:coreProperties>
</file>