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БУРЛИНСКИЙ</w:t>
      </w:r>
      <w:r w:rsidR="00711D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635163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711D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46359"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 w:rsidR="0014120A">
        <w:rPr>
          <w:rFonts w:ascii="Times New Roman" w:eastAsia="Times New Roman" w:hAnsi="Times New Roman"/>
          <w:bCs/>
          <w:sz w:val="26"/>
          <w:szCs w:val="28"/>
          <w:lang w:eastAsia="ru-RU"/>
        </w:rPr>
        <w:t>4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.                                                                                                    </w:t>
      </w:r>
      <w:r w:rsidR="00711D1F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</w:t>
      </w:r>
      <w:bookmarkStart w:id="0" w:name="_GoBack"/>
      <w:bookmarkEnd w:id="0"/>
      <w:r w:rsidR="00711D1F">
        <w:rPr>
          <w:rFonts w:ascii="Times New Roman" w:eastAsia="Times New Roman" w:hAnsi="Times New Roman"/>
          <w:sz w:val="26"/>
          <w:szCs w:val="28"/>
          <w:lang w:eastAsia="ru-RU"/>
        </w:rPr>
        <w:t xml:space="preserve"> 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№ </w:t>
      </w:r>
      <w:r w:rsidR="007C5F8E">
        <w:rPr>
          <w:rFonts w:ascii="Times New Roman" w:eastAsia="Times New Roman" w:hAnsi="Times New Roman"/>
          <w:sz w:val="26"/>
          <w:szCs w:val="28"/>
          <w:lang w:eastAsia="ru-RU"/>
        </w:rPr>
        <w:t>34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A46359" w:rsidRDefault="0070743B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A46359"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ключевых показателях </w:t>
      </w:r>
    </w:p>
    <w:p w:rsid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эффективности деятельности </w:t>
      </w:r>
    </w:p>
    <w:p w:rsid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главы Бурлинского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района </w:t>
      </w:r>
    </w:p>
    <w:p w:rsid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Алтайского края и инвестиционного </w:t>
      </w:r>
    </w:p>
    <w:p w:rsidR="00A46359" w:rsidRP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уполномоченного в Бурлинском</w:t>
      </w:r>
    </w:p>
    <w:p w:rsidR="00A46359" w:rsidRDefault="00A46359" w:rsidP="00A4635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районе Алтайского края </w:t>
      </w:r>
    </w:p>
    <w:p w:rsidR="0070743B" w:rsidRPr="00A46359" w:rsidRDefault="00A46359" w:rsidP="00A4635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сфере инвестиционной деятельности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A46359" w:rsidRDefault="00A46359" w:rsidP="00635163">
      <w:pPr>
        <w:tabs>
          <w:tab w:val="left" w:pos="3040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целях создания благоприятного инвестиционного климата и оказания содействия в реализации инвестиционных проектов на территории муниципального образования Бурлинский район Алтайский край, руководствуясь Приказом Министерства экономического развития Российской Федерации от 26 сентября 2023 г</w:t>
      </w:r>
      <w:r w:rsidR="00F265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стандарт»)», Федеральным законом от 25.02.1999 № 39-ФЗ «Об инвестиционной деятельности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Российской Федерации, осуществляемой в форме капитальных вложений», Федеральным законом от 06.10.2003 № 131-ФЗ «Об общих принципах местного самоуправления в Российской Федерации», Уставом муниципального образования муниципальный район Бурлинский район Алтайского края</w:t>
      </w:r>
      <w:r w:rsidR="0070743B" w:rsidRPr="00A46359">
        <w:rPr>
          <w:rFonts w:ascii="Times New Roman" w:eastAsia="Times New Roman" w:hAnsi="Times New Roman"/>
          <w:sz w:val="26"/>
          <w:szCs w:val="26"/>
          <w:lang w:eastAsia="ru-RU"/>
        </w:rPr>
        <w:t>, районный Совет народных депутатов</w:t>
      </w:r>
    </w:p>
    <w:p w:rsidR="0070743B" w:rsidRPr="00A46359" w:rsidRDefault="0070743B" w:rsidP="007074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Утвердить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перечень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ключевы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х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показател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ей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эффективности деятельности главы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 инвестиционного уполномоченного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Бурлинском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в сфере инвестиционной деятельности: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1.1.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количество инвестиционных проектов, реализованных на территории муниципального образования в течение трех лет, предшествующих текущему году (единиц).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1.2.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количество инвестиционных проектов, реализуемых и планируемых к реализации на территории муниципального образования в текущем году (единиц);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1.3. 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одного жителя (рублей).</w:t>
      </w:r>
    </w:p>
    <w:p w:rsidR="00F26587" w:rsidRPr="00A46359" w:rsidRDefault="00F26587" w:rsidP="00F265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Утвердить методику расчета оценки эффективности деятельности главы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 инвестиционного уполномоченного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в сфере инвестиционной деятельности согласно приложению к настоящему Решению.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Инвестиционному уполномоченному ежегодно:</w:t>
      </w:r>
    </w:p>
    <w:p w:rsidR="00F26587" w:rsidRPr="00A46359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- не позднее 15 марта представлять главе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информацию о достигнутых значениях ключевых показателей;</w:t>
      </w:r>
    </w:p>
    <w:p w:rsidR="00F26587" w:rsidRPr="0057410B" w:rsidRDefault="00F26587" w:rsidP="00F26587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представлять информацию об оценке эффективности деятельности главы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 инвестиционного уполномоченного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в сфере инвестиционной деятельности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для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рассмотрени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A4635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</w:t>
      </w:r>
      <w:r w:rsidRPr="0057410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7410B">
        <w:rPr>
          <w:rFonts w:ascii="Times New Roman" w:eastAsia="Times New Roman" w:hAnsi="Times New Roman"/>
          <w:sz w:val="26"/>
          <w:szCs w:val="26"/>
          <w:lang w:eastAsia="ru-RU"/>
        </w:rPr>
        <w:t xml:space="preserve">нвестиционного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57410B">
        <w:rPr>
          <w:rFonts w:ascii="Times New Roman" w:eastAsia="Times New Roman" w:hAnsi="Times New Roman"/>
          <w:sz w:val="26"/>
          <w:szCs w:val="26"/>
          <w:lang w:eastAsia="ru-RU"/>
        </w:rPr>
        <w:t>овета Бурлинского района.</w:t>
      </w:r>
    </w:p>
    <w:p w:rsidR="009673E1" w:rsidRPr="009673E1" w:rsidRDefault="009673E1" w:rsidP="009673E1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9673E1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исполнения</w:t>
      </w:r>
      <w:r w:rsidRPr="009673E1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настоящего решения возложить на постоянную комиссию РСНД по вопросам собственности, налогам, бюджету и экономической политике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Федяй </w:t>
      </w:r>
      <w:r w:rsidRPr="009673E1">
        <w:rPr>
          <w:rFonts w:ascii="Times New Roman" w:eastAsia="Times New Roman" w:hAnsi="Times New Roman"/>
          <w:sz w:val="26"/>
          <w:szCs w:val="26"/>
          <w:lang w:eastAsia="ru-RU"/>
        </w:rPr>
        <w:t>А.В.).</w:t>
      </w:r>
    </w:p>
    <w:p w:rsidR="0070743B" w:rsidRPr="0070743B" w:rsidRDefault="0070743B" w:rsidP="00F2658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F2658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330B6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Совета народных депутатов</w:t>
      </w:r>
      <w:r w:rsidR="00711D1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</w:t>
      </w:r>
      <w:r w:rsidR="00FC160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</w:t>
      </w:r>
      <w:r w:rsidR="00636327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FC1607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711D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C5E5A">
        <w:rPr>
          <w:rFonts w:ascii="Times New Roman" w:eastAsia="Times New Roman" w:hAnsi="Times New Roman"/>
          <w:sz w:val="26"/>
          <w:szCs w:val="26"/>
          <w:lang w:eastAsia="ru-RU"/>
        </w:rPr>
        <w:t>Е.А. Головенко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26587" w:rsidRPr="00F26587" w:rsidRDefault="0070743B" w:rsidP="00F26587">
      <w:pPr>
        <w:spacing w:after="0" w:line="240" w:lineRule="auto"/>
        <w:ind w:left="5954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B31CFF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lastRenderedPageBreak/>
        <w:t>Приложение к</w:t>
      </w:r>
    </w:p>
    <w:p w:rsidR="00F26587" w:rsidRPr="00F26587" w:rsidRDefault="00B31CFF" w:rsidP="00F26587">
      <w:pPr>
        <w:spacing w:after="0" w:line="240" w:lineRule="auto"/>
        <w:ind w:left="5954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решению</w:t>
      </w:r>
      <w:r w:rsidR="00F26587" w:rsidRPr="00F2658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Бурлинского районного Совета народных депутатов </w:t>
      </w:r>
    </w:p>
    <w:p w:rsidR="00F26587" w:rsidRPr="00F26587" w:rsidRDefault="00F26587" w:rsidP="00F26587">
      <w:pPr>
        <w:tabs>
          <w:tab w:val="left" w:pos="9921"/>
        </w:tabs>
        <w:spacing w:after="0" w:line="240" w:lineRule="auto"/>
        <w:ind w:left="5954" w:right="-2"/>
        <w:jc w:val="both"/>
        <w:rPr>
          <w:rFonts w:ascii="Times New Roman" w:eastAsia="Times New Roman" w:hAnsi="Times New Roman"/>
          <w:color w:val="000000"/>
          <w:sz w:val="26"/>
          <w:szCs w:val="24"/>
          <w:lang w:eastAsia="ru-RU"/>
        </w:rPr>
      </w:pPr>
      <w:r w:rsidRPr="00F2658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12</w:t>
      </w:r>
      <w:r w:rsidRPr="00F2658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>декабря</w:t>
      </w:r>
      <w:r w:rsidRPr="00F2658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2024 г. №</w:t>
      </w:r>
      <w:r w:rsidR="00BA68A9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34</w:t>
      </w:r>
      <w:r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  <w:r w:rsidRPr="00F26587">
        <w:rPr>
          <w:rFonts w:ascii="Times New Roman" w:eastAsia="Times New Roman" w:hAnsi="Times New Roman"/>
          <w:color w:val="000000"/>
          <w:sz w:val="26"/>
          <w:szCs w:val="24"/>
          <w:lang w:eastAsia="ru-RU"/>
        </w:rPr>
        <w:t xml:space="preserve"> </w:t>
      </w:r>
    </w:p>
    <w:p w:rsidR="00F26587" w:rsidRDefault="00F26587" w:rsidP="00F2658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A46359" w:rsidRPr="00A46359" w:rsidRDefault="00FC1607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МЕТОДИКА РАСЧЕТА</w:t>
      </w:r>
    </w:p>
    <w:p w:rsidR="00A46359" w:rsidRP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оценки эффективности деятельности</w:t>
      </w:r>
    </w:p>
    <w:p w:rsidR="00A46359" w:rsidRP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Бурлинского</w:t>
      </w: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района Алтайского края и инвестиционного</w:t>
      </w:r>
    </w:p>
    <w:p w:rsidR="00A46359" w:rsidRPr="00A46359" w:rsidRDefault="00A46359" w:rsidP="00A463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уполномоченного в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Бурлинском</w:t>
      </w: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районе Алтайского края в сфере</w:t>
      </w:r>
    </w:p>
    <w:p w:rsidR="00590AF4" w:rsidRPr="00A46359" w:rsidRDefault="00A46359" w:rsidP="00A463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3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инвестиционной деятельности</w:t>
      </w:r>
    </w:p>
    <w:p w:rsidR="00590AF4" w:rsidRPr="00D234BB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C5E5A" w:rsidRPr="00D234BB" w:rsidRDefault="001C5E5A" w:rsidP="001C5E5A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Настоящая методика определяет порядок расчета оценки эффективности деятельности главы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 района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Алтайского края и инвестиционного уполномоченного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(далее 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«И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нвестиционный уполномоченный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в сфере инвестиционной деятельности (далее 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ценка эффективности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2. Расчет оценки эффективности осуществляется отделом </w:t>
      </w:r>
      <w:r w:rsidR="005815A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экономическому развитию и предпринимательству Управления </w:t>
      </w:r>
      <w:r w:rsidR="00711D1F" w:rsidRPr="0070743B">
        <w:rPr>
          <w:rFonts w:ascii="Times New Roman" w:eastAsia="Times New Roman" w:hAnsi="Times New Roman"/>
          <w:sz w:val="26"/>
          <w:szCs w:val="26"/>
          <w:lang w:eastAsia="ru-RU"/>
        </w:rPr>
        <w:t>по экономическому развитию, имущественным и земельным отношениям Администрации района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соответствии с установленными ключевыми показателями эффективности деятельности главы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 инвестиционного уполномоченного 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в сфере инвестиционной деятельности (далее 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–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«К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лючевые показатели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и определяется по формулам. Полученные значения измеряются в процентах.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По ключевому показателю «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оличество инвестиционных проектов, реализованных на территории муниципального образования в течение трех лет, предшествующих теку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щему году (единиц)» (ПЭф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расчет производится по следующей формуле: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ПЭф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= КИП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/ КИП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х 100, где:</w:t>
      </w:r>
    </w:p>
    <w:p w:rsidR="00EA1628" w:rsidRPr="00EA1628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КИП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количество инвестиционных проектов, реализованных на территории муниципального образования в течение трех лет, предшествующих текущему году;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КИП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количество инвестиционных проектов, реализованных на территории муниципального образования в течение трех лет, предшествующих предыдущему году.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получении:</w:t>
      </w:r>
    </w:p>
    <w:p w:rsidR="00EA1628" w:rsidRPr="00EA1628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я, равного или превышающего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процентов,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показателю присваивается 5 баллов;</w:t>
      </w:r>
    </w:p>
    <w:p w:rsidR="001C5E5A" w:rsidRPr="00EA1628" w:rsidRDefault="00711D1F" w:rsidP="00F26587">
      <w:pPr>
        <w:tabs>
          <w:tab w:val="left" w:pos="993"/>
          <w:tab w:val="left" w:pos="3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значения в диапазоне 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 80 до 99 процентов - 4 балла;</w:t>
      </w:r>
    </w:p>
    <w:p w:rsidR="00711D1F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значения в диапазоне от 60 до 79 процентов - 3 балла; 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значения менее 60 процентов - 0 баллов.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По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ключевому показателю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оличество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инвестиционных проектов, реализуемых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планируемых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реализации на территории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 образования</w:t>
      </w:r>
      <w:r w:rsidR="00711D1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текущем году (единиц)»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(ПЭф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расчет производится</w:t>
      </w:r>
      <w:r w:rsidRPr="00EA162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следующей формуле: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ПЭф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= КИП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факт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/ КИП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пр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х 100, где: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КИП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факт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количество инвестиционных проектов, фактически реализованных на территории муниципального образования в текущем (отчетном) году;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КИП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пр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прогнозное количество инвестиционных проектов, реализуемых и планируемых к реализации на территории муниципального образования в текущем году.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получении:</w:t>
      </w:r>
    </w:p>
    <w:p w:rsidR="00EA1628" w:rsidRPr="00EA1628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значения,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равного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превышающего</w:t>
      </w:r>
      <w:r w:rsidR="00F265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процентов,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показателю присваивается 5 баллов;</w:t>
      </w:r>
    </w:p>
    <w:p w:rsidR="00711D1F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значения в диапазоне от 80 до 99 процентов - 4 балла; </w:t>
      </w:r>
    </w:p>
    <w:p w:rsidR="00711D1F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значения в диапазоне от 60 до 79 процентов - 3 балла; 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значения менее 60 процентов - 0 баллов.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5. По ключевому показателю «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одного жителя (рублей)» (ПЭф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з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расчет производится по следующей формуле:</w:t>
      </w:r>
    </w:p>
    <w:p w:rsidR="00EA1628" w:rsidRPr="00EA1628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ПЭф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= ОИЖ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/ ОИЖ</w:t>
      </w:r>
      <w:r w:rsidR="00EA1628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х 100, где: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ОИЖ</w:t>
      </w:r>
      <w:r w:rsidR="00711D1F"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1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- 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одного жителя;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ОИЖ</w:t>
      </w:r>
      <w:r w:rsidRPr="00711D1F">
        <w:rPr>
          <w:rFonts w:ascii="Times New Roman" w:eastAsia="Times New Roman" w:hAnsi="Times New Roman"/>
          <w:color w:val="000000"/>
          <w:sz w:val="26"/>
          <w:szCs w:val="26"/>
          <w:vertAlign w:val="subscript"/>
          <w:lang w:eastAsia="ru-RU"/>
        </w:rPr>
        <w:t>2</w:t>
      </w:r>
      <w:r w:rsidR="00711D1F">
        <w:rPr>
          <w:rFonts w:ascii="Arial" w:eastAsia="Times New Roman" w:hAnsi="Times New Roman" w:cs="Arial"/>
          <w:color w:val="000000"/>
          <w:sz w:val="26"/>
          <w:szCs w:val="26"/>
          <w:lang w:eastAsia="ru-RU"/>
        </w:rPr>
        <w:t xml:space="preserve">  </w:t>
      </w:r>
      <w:r w:rsidRPr="00EA1628">
        <w:rPr>
          <w:rFonts w:ascii="Arial" w:eastAsia="Times New Roman" w:hAnsi="Times New Roman" w:cs="Arial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711D1F">
        <w:rPr>
          <w:rFonts w:ascii="Arial" w:eastAsia="Times New Roman" w:hAnsi="Times New Roman" w:cs="Arial"/>
          <w:color w:val="000000"/>
          <w:sz w:val="26"/>
          <w:szCs w:val="26"/>
          <w:lang w:eastAsia="ru-RU"/>
        </w:rPr>
        <w:t xml:space="preserve"> 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объем</w:t>
      </w:r>
      <w:r w:rsidR="00711D1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</w:t>
      </w:r>
      <w:r w:rsidRPr="00EA162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инвестиций,</w:t>
      </w:r>
      <w:r w:rsidRPr="00EA1628">
        <w:rPr>
          <w:rFonts w:ascii="Arial" w:eastAsia="Times New Roman" w:hAnsi="Times New Roman" w:cs="Arial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направленных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</w:t>
      </w:r>
      <w:r w:rsidR="00711D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реализацию инвестиционных проектов на территории муниципального образования в течение трех лет, предшествующих предыдущему году, в расчете на одного жителя.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 получении:</w:t>
      </w:r>
    </w:p>
    <w:p w:rsidR="00EA1628" w:rsidRPr="00EA1628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значения,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равного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превышающего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процентов,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показателю присваивается 5 баллов;</w:t>
      </w:r>
    </w:p>
    <w:p w:rsidR="00711D1F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значения в диапазоне от 80 до 99 процентов - 4 балла; </w:t>
      </w:r>
    </w:p>
    <w:p w:rsidR="00711D1F" w:rsidRDefault="00711D1F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</w:t>
      </w:r>
      <w:r w:rsidR="00EA1628"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значения в диапазоне от 60 до 79 процентов - 3 балла; 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 значения менее 60 процентов - 0 баллов.</w:t>
      </w:r>
    </w:p>
    <w:p w:rsidR="00EA1628" w:rsidRPr="00EA1628" w:rsidRDefault="00EA1628" w:rsidP="00F26587">
      <w:pPr>
        <w:tabs>
          <w:tab w:val="left" w:pos="993"/>
          <w:tab w:val="left" w:pos="3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По итогам расчета полученные по каждому ключевому Показателю значения баллов суммируются.</w:t>
      </w:r>
    </w:p>
    <w:p w:rsidR="00EA1628" w:rsidRPr="00EA1628" w:rsidRDefault="00EA1628" w:rsidP="00F26587">
      <w:p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7. Уровень эффективности деятельности главы 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Бурлинского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 Алтайского края и инвестиционного уполномоченного в </w:t>
      </w:r>
      <w:r w:rsidR="00711D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Бурлинском</w:t>
      </w: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районе Алтайского края в сфере инвестиционной деятельности в зависимости от полученного количества баллов определяется как:</w:t>
      </w:r>
    </w:p>
    <w:p w:rsidR="00EA1628" w:rsidRPr="00EA1628" w:rsidRDefault="00EA1628" w:rsidP="00F26587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высокий - от 11 до 15 баллов;</w:t>
      </w:r>
    </w:p>
    <w:p w:rsidR="00FC1607" w:rsidRDefault="00EA1628" w:rsidP="00F26587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A162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удовлетворительный - от 6 до 10 баллов;</w:t>
      </w:r>
    </w:p>
    <w:p w:rsidR="00EA1628" w:rsidRPr="00FC1607" w:rsidRDefault="00EA1628" w:rsidP="00F26587">
      <w:pPr>
        <w:numPr>
          <w:ilvl w:val="0"/>
          <w:numId w:val="13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C16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низкий - менее 6 баллов.</w:t>
      </w:r>
    </w:p>
    <w:p w:rsidR="00227CE6" w:rsidRDefault="00227CE6" w:rsidP="00F26587">
      <w:pPr>
        <w:tabs>
          <w:tab w:val="left" w:pos="3360"/>
        </w:tabs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04C1" w:rsidRDefault="009604C1" w:rsidP="003051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04C1" w:rsidRPr="00D234BB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66B" w:rsidRPr="00D234B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566B" w:rsidRPr="00D234BB" w:rsidSect="00FC1607">
      <w:pgSz w:w="11906" w:h="16838"/>
      <w:pgMar w:top="853" w:right="623" w:bottom="1105" w:left="114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B5" w:rsidRDefault="00606EB5">
      <w:r>
        <w:separator/>
      </w:r>
    </w:p>
  </w:endnote>
  <w:endnote w:type="continuationSeparator" w:id="0">
    <w:p w:rsidR="00606EB5" w:rsidRDefault="0060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B5" w:rsidRDefault="00606EB5">
      <w:r>
        <w:separator/>
      </w:r>
    </w:p>
  </w:footnote>
  <w:footnote w:type="continuationSeparator" w:id="0">
    <w:p w:rsidR="00606EB5" w:rsidRDefault="0060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8210FCB"/>
    <w:multiLevelType w:val="hybridMultilevel"/>
    <w:tmpl w:val="3C9219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E9E6508"/>
    <w:multiLevelType w:val="hybridMultilevel"/>
    <w:tmpl w:val="7B1658B2"/>
    <w:lvl w:ilvl="0" w:tplc="2E5A8848">
      <w:start w:val="1"/>
      <w:numFmt w:val="bullet"/>
      <w:lvlText w:val=""/>
      <w:lvlJc w:val="left"/>
      <w:pPr>
        <w:tabs>
          <w:tab w:val="num" w:pos="1503"/>
        </w:tabs>
        <w:ind w:left="1503" w:hanging="36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75CF614D"/>
    <w:multiLevelType w:val="hybridMultilevel"/>
    <w:tmpl w:val="86C4B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12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AF4"/>
    <w:rsid w:val="00001F02"/>
    <w:rsid w:val="00002C37"/>
    <w:rsid w:val="0002104E"/>
    <w:rsid w:val="000376D8"/>
    <w:rsid w:val="000403CD"/>
    <w:rsid w:val="0004083E"/>
    <w:rsid w:val="000414DD"/>
    <w:rsid w:val="0004260E"/>
    <w:rsid w:val="00043CFF"/>
    <w:rsid w:val="00046443"/>
    <w:rsid w:val="00046F29"/>
    <w:rsid w:val="00060E12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2607"/>
    <w:rsid w:val="000E3F65"/>
    <w:rsid w:val="000E437A"/>
    <w:rsid w:val="000E4CDF"/>
    <w:rsid w:val="000F0C58"/>
    <w:rsid w:val="000F1E1D"/>
    <w:rsid w:val="000F5D94"/>
    <w:rsid w:val="00104456"/>
    <w:rsid w:val="00110E19"/>
    <w:rsid w:val="00112B26"/>
    <w:rsid w:val="00122E95"/>
    <w:rsid w:val="00125300"/>
    <w:rsid w:val="001256D8"/>
    <w:rsid w:val="00131FF4"/>
    <w:rsid w:val="0014120A"/>
    <w:rsid w:val="0014425E"/>
    <w:rsid w:val="00166D35"/>
    <w:rsid w:val="00180F38"/>
    <w:rsid w:val="001825C9"/>
    <w:rsid w:val="001A5497"/>
    <w:rsid w:val="001A5BD3"/>
    <w:rsid w:val="001B00AB"/>
    <w:rsid w:val="001B23FD"/>
    <w:rsid w:val="001C5E5A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39FB"/>
    <w:rsid w:val="00224A6D"/>
    <w:rsid w:val="002257B6"/>
    <w:rsid w:val="00227CE6"/>
    <w:rsid w:val="002332ED"/>
    <w:rsid w:val="002340AF"/>
    <w:rsid w:val="00241226"/>
    <w:rsid w:val="00242A73"/>
    <w:rsid w:val="00252A16"/>
    <w:rsid w:val="00263182"/>
    <w:rsid w:val="00265183"/>
    <w:rsid w:val="00266328"/>
    <w:rsid w:val="00271F05"/>
    <w:rsid w:val="0027541A"/>
    <w:rsid w:val="00275659"/>
    <w:rsid w:val="00287169"/>
    <w:rsid w:val="00287C6F"/>
    <w:rsid w:val="00287F07"/>
    <w:rsid w:val="002A5C37"/>
    <w:rsid w:val="002A674C"/>
    <w:rsid w:val="002B3F32"/>
    <w:rsid w:val="002D1878"/>
    <w:rsid w:val="002D21BD"/>
    <w:rsid w:val="002D5B7D"/>
    <w:rsid w:val="002D5DFE"/>
    <w:rsid w:val="002E2B13"/>
    <w:rsid w:val="002E5EAE"/>
    <w:rsid w:val="002F1A17"/>
    <w:rsid w:val="002F3D51"/>
    <w:rsid w:val="003051FF"/>
    <w:rsid w:val="00315C58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D03EE"/>
    <w:rsid w:val="003D1601"/>
    <w:rsid w:val="003D2E4D"/>
    <w:rsid w:val="003D5005"/>
    <w:rsid w:val="003E2FE2"/>
    <w:rsid w:val="003F34BE"/>
    <w:rsid w:val="003F44D3"/>
    <w:rsid w:val="00401627"/>
    <w:rsid w:val="00415260"/>
    <w:rsid w:val="0043368B"/>
    <w:rsid w:val="00434808"/>
    <w:rsid w:val="00441976"/>
    <w:rsid w:val="00443F7A"/>
    <w:rsid w:val="00467C73"/>
    <w:rsid w:val="00474998"/>
    <w:rsid w:val="004807B7"/>
    <w:rsid w:val="00480C5A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13517"/>
    <w:rsid w:val="00521BA3"/>
    <w:rsid w:val="0053079D"/>
    <w:rsid w:val="005310E3"/>
    <w:rsid w:val="0053319C"/>
    <w:rsid w:val="0053419D"/>
    <w:rsid w:val="00535669"/>
    <w:rsid w:val="005411C3"/>
    <w:rsid w:val="005415A0"/>
    <w:rsid w:val="005544CE"/>
    <w:rsid w:val="005565DA"/>
    <w:rsid w:val="00567072"/>
    <w:rsid w:val="00567632"/>
    <w:rsid w:val="0057410B"/>
    <w:rsid w:val="00576D68"/>
    <w:rsid w:val="005815A9"/>
    <w:rsid w:val="0058700C"/>
    <w:rsid w:val="00590AF4"/>
    <w:rsid w:val="005A0611"/>
    <w:rsid w:val="005B6214"/>
    <w:rsid w:val="005C2EAA"/>
    <w:rsid w:val="005C7BCE"/>
    <w:rsid w:val="005D1B3A"/>
    <w:rsid w:val="005D1B8D"/>
    <w:rsid w:val="005D4246"/>
    <w:rsid w:val="005D47EC"/>
    <w:rsid w:val="005E0F10"/>
    <w:rsid w:val="005E302E"/>
    <w:rsid w:val="005F2390"/>
    <w:rsid w:val="005F3A3E"/>
    <w:rsid w:val="005F55D8"/>
    <w:rsid w:val="005F62D2"/>
    <w:rsid w:val="005F7184"/>
    <w:rsid w:val="00606EB5"/>
    <w:rsid w:val="0060780D"/>
    <w:rsid w:val="00607ADC"/>
    <w:rsid w:val="00610692"/>
    <w:rsid w:val="006170A7"/>
    <w:rsid w:val="00625C54"/>
    <w:rsid w:val="00634C57"/>
    <w:rsid w:val="00635163"/>
    <w:rsid w:val="00636327"/>
    <w:rsid w:val="006432F0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6BE1"/>
    <w:rsid w:val="006E165A"/>
    <w:rsid w:val="006E33B1"/>
    <w:rsid w:val="006E6515"/>
    <w:rsid w:val="006F3D17"/>
    <w:rsid w:val="006F606F"/>
    <w:rsid w:val="0070743B"/>
    <w:rsid w:val="00711D1F"/>
    <w:rsid w:val="00713730"/>
    <w:rsid w:val="0071579E"/>
    <w:rsid w:val="007176DC"/>
    <w:rsid w:val="0072667E"/>
    <w:rsid w:val="00732A77"/>
    <w:rsid w:val="00733421"/>
    <w:rsid w:val="00736BB2"/>
    <w:rsid w:val="00737615"/>
    <w:rsid w:val="007379F6"/>
    <w:rsid w:val="00753192"/>
    <w:rsid w:val="007575B1"/>
    <w:rsid w:val="00762C67"/>
    <w:rsid w:val="00770470"/>
    <w:rsid w:val="007734F1"/>
    <w:rsid w:val="00773DF0"/>
    <w:rsid w:val="00785740"/>
    <w:rsid w:val="007A23D7"/>
    <w:rsid w:val="007C18F5"/>
    <w:rsid w:val="007C5F8E"/>
    <w:rsid w:val="007C7360"/>
    <w:rsid w:val="007D1953"/>
    <w:rsid w:val="007E1356"/>
    <w:rsid w:val="007E30A5"/>
    <w:rsid w:val="007E5A9D"/>
    <w:rsid w:val="007F2963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20F6D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5C47"/>
    <w:rsid w:val="008B5E96"/>
    <w:rsid w:val="008C1B7C"/>
    <w:rsid w:val="008C3667"/>
    <w:rsid w:val="008C6A4A"/>
    <w:rsid w:val="008E0F05"/>
    <w:rsid w:val="008E3232"/>
    <w:rsid w:val="008F0777"/>
    <w:rsid w:val="009049E8"/>
    <w:rsid w:val="00906480"/>
    <w:rsid w:val="00914134"/>
    <w:rsid w:val="00915DB2"/>
    <w:rsid w:val="00916A21"/>
    <w:rsid w:val="00927EB0"/>
    <w:rsid w:val="0093304A"/>
    <w:rsid w:val="009365F9"/>
    <w:rsid w:val="009372C4"/>
    <w:rsid w:val="0094146B"/>
    <w:rsid w:val="00942AF9"/>
    <w:rsid w:val="00950777"/>
    <w:rsid w:val="009600D3"/>
    <w:rsid w:val="009604C1"/>
    <w:rsid w:val="00961978"/>
    <w:rsid w:val="0096521F"/>
    <w:rsid w:val="009673E1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1BF4"/>
    <w:rsid w:val="009C4597"/>
    <w:rsid w:val="009C644C"/>
    <w:rsid w:val="009D1269"/>
    <w:rsid w:val="009D1673"/>
    <w:rsid w:val="009D5DBF"/>
    <w:rsid w:val="009D7A31"/>
    <w:rsid w:val="009F6DC6"/>
    <w:rsid w:val="00A04B6D"/>
    <w:rsid w:val="00A05BB2"/>
    <w:rsid w:val="00A06C43"/>
    <w:rsid w:val="00A164F7"/>
    <w:rsid w:val="00A23F9A"/>
    <w:rsid w:val="00A3140E"/>
    <w:rsid w:val="00A33C86"/>
    <w:rsid w:val="00A420E2"/>
    <w:rsid w:val="00A44D7B"/>
    <w:rsid w:val="00A46359"/>
    <w:rsid w:val="00A47287"/>
    <w:rsid w:val="00A53527"/>
    <w:rsid w:val="00A5566B"/>
    <w:rsid w:val="00A608F6"/>
    <w:rsid w:val="00A6515F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B03BAD"/>
    <w:rsid w:val="00B04D6F"/>
    <w:rsid w:val="00B22CEC"/>
    <w:rsid w:val="00B25E2E"/>
    <w:rsid w:val="00B26983"/>
    <w:rsid w:val="00B310E4"/>
    <w:rsid w:val="00B31CFF"/>
    <w:rsid w:val="00B41BCF"/>
    <w:rsid w:val="00B442FD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A68A9"/>
    <w:rsid w:val="00BB37C7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135BB"/>
    <w:rsid w:val="00C17D73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09E"/>
    <w:rsid w:val="00C83180"/>
    <w:rsid w:val="00C86677"/>
    <w:rsid w:val="00CA3089"/>
    <w:rsid w:val="00CA3AE6"/>
    <w:rsid w:val="00CA5555"/>
    <w:rsid w:val="00CA6071"/>
    <w:rsid w:val="00CA6B95"/>
    <w:rsid w:val="00CB2202"/>
    <w:rsid w:val="00CC1DA8"/>
    <w:rsid w:val="00CC1E1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18D8"/>
    <w:rsid w:val="00D52B0C"/>
    <w:rsid w:val="00D61571"/>
    <w:rsid w:val="00D63340"/>
    <w:rsid w:val="00D6426F"/>
    <w:rsid w:val="00D861AA"/>
    <w:rsid w:val="00D94AB5"/>
    <w:rsid w:val="00DB2D91"/>
    <w:rsid w:val="00DD16BC"/>
    <w:rsid w:val="00DD71B4"/>
    <w:rsid w:val="00DE6167"/>
    <w:rsid w:val="00DF12FF"/>
    <w:rsid w:val="00DF1754"/>
    <w:rsid w:val="00DF32E5"/>
    <w:rsid w:val="00DF7EDA"/>
    <w:rsid w:val="00E02D20"/>
    <w:rsid w:val="00E02F92"/>
    <w:rsid w:val="00E0549E"/>
    <w:rsid w:val="00E065AF"/>
    <w:rsid w:val="00E070EF"/>
    <w:rsid w:val="00E16C23"/>
    <w:rsid w:val="00E21603"/>
    <w:rsid w:val="00E30F4D"/>
    <w:rsid w:val="00E31BA9"/>
    <w:rsid w:val="00E32F83"/>
    <w:rsid w:val="00E332D9"/>
    <w:rsid w:val="00E401C6"/>
    <w:rsid w:val="00E44D05"/>
    <w:rsid w:val="00E51C4B"/>
    <w:rsid w:val="00E53C5C"/>
    <w:rsid w:val="00E64147"/>
    <w:rsid w:val="00E65147"/>
    <w:rsid w:val="00E756DA"/>
    <w:rsid w:val="00E80AF9"/>
    <w:rsid w:val="00EA1628"/>
    <w:rsid w:val="00EA1AAF"/>
    <w:rsid w:val="00EB0421"/>
    <w:rsid w:val="00EB0CFF"/>
    <w:rsid w:val="00EB4583"/>
    <w:rsid w:val="00EC5DDE"/>
    <w:rsid w:val="00EE05DC"/>
    <w:rsid w:val="00EE604F"/>
    <w:rsid w:val="00EF0337"/>
    <w:rsid w:val="00F26587"/>
    <w:rsid w:val="00F42E3D"/>
    <w:rsid w:val="00F5610F"/>
    <w:rsid w:val="00F56C39"/>
    <w:rsid w:val="00F60099"/>
    <w:rsid w:val="00F60329"/>
    <w:rsid w:val="00F732BD"/>
    <w:rsid w:val="00F779BD"/>
    <w:rsid w:val="00F81F9A"/>
    <w:rsid w:val="00F9645B"/>
    <w:rsid w:val="00FA189D"/>
    <w:rsid w:val="00FA2C9C"/>
    <w:rsid w:val="00FB1637"/>
    <w:rsid w:val="00FB57FD"/>
    <w:rsid w:val="00FB7E3F"/>
    <w:rsid w:val="00FC1607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957D-CE81-46E6-8D63-2EB7E79C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customStyle="1" w:styleId="10">
    <w:name w:val="Обычный (веб)1"/>
    <w:aliases w:val="Обычный (Web),Обычный (веб) Знак,Обычный (Web) Знак Знак,Обычный (веб) Знак Знак,Обычный (Web) Знак1 Знак,Обычный (Web) Знак Знак Знак, Знак Знак Знак1,Обычный (веб) Знак1,Знак Знак Знак1 Знак,Знак Знак, Знак Знак Знак Знак"/>
    <w:basedOn w:val="a"/>
    <w:uiPriority w:val="99"/>
    <w:qFormat/>
    <w:rsid w:val="001C5E5A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ru-RU"/>
    </w:rPr>
  </w:style>
  <w:style w:type="paragraph" w:customStyle="1" w:styleId="af">
    <w:name w:val="Основа"/>
    <w:basedOn w:val="a"/>
    <w:link w:val="af0"/>
    <w:rsid w:val="001C5E5A"/>
    <w:pPr>
      <w:spacing w:before="120" w:after="0" w:line="36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0">
    <w:name w:val="Основа Знак"/>
    <w:link w:val="af"/>
    <w:rsid w:val="001C5E5A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Светлана Чумадевская</cp:lastModifiedBy>
  <cp:revision>7</cp:revision>
  <cp:lastPrinted>2024-12-16T08:20:00Z</cp:lastPrinted>
  <dcterms:created xsi:type="dcterms:W3CDTF">2024-12-10T10:21:00Z</dcterms:created>
  <dcterms:modified xsi:type="dcterms:W3CDTF">2024-12-16T08:21:00Z</dcterms:modified>
</cp:coreProperties>
</file>